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C5D23" w14:textId="32F2F82C" w:rsidR="00661CA5" w:rsidRPr="00661CA5" w:rsidRDefault="00661CA5" w:rsidP="00661CA5">
      <w:pPr>
        <w:pStyle w:val="Titre2"/>
        <w:pBdr>
          <w:top w:val="single" w:sz="4" w:space="1" w:color="auto"/>
          <w:left w:val="single" w:sz="4" w:space="4" w:color="auto"/>
          <w:bottom w:val="single" w:sz="4" w:space="1" w:color="auto"/>
          <w:right w:val="single" w:sz="4" w:space="4" w:color="auto"/>
        </w:pBdr>
        <w:jc w:val="center"/>
        <w:rPr>
          <w:color w:val="0070C0"/>
        </w:rPr>
      </w:pPr>
      <w:r w:rsidRPr="00661CA5">
        <w:rPr>
          <w:color w:val="0070C0"/>
        </w:rPr>
        <w:t xml:space="preserve">Consultation CRE 2024 – 11 </w:t>
      </w:r>
      <w:r w:rsidRPr="00661CA5">
        <w:rPr>
          <w:color w:val="0070C0"/>
        </w:rPr>
        <w:tab/>
        <w:t>Seconde consultation publique du 12 juillet 2024 relative aux conditions de modification par les gestionnaires de réseaux publics de la puissance de raccordement électrique des utilisateurs en application de l’article L. 342-24 du code de l’énergie</w:t>
      </w:r>
    </w:p>
    <w:p w14:paraId="3EBC8B5E" w14:textId="77777777" w:rsidR="00661CA5" w:rsidRDefault="00661CA5" w:rsidP="00661CA5"/>
    <w:p w14:paraId="1527A365" w14:textId="77777777" w:rsidR="00661CA5" w:rsidRDefault="00661CA5" w:rsidP="00661CA5">
      <w:pPr>
        <w:pStyle w:val="Default"/>
        <w:rPr>
          <w:sz w:val="20"/>
          <w:szCs w:val="20"/>
        </w:rPr>
      </w:pPr>
    </w:p>
    <w:p w14:paraId="4320B316" w14:textId="77777777" w:rsidR="00661CA5" w:rsidRDefault="00661CA5" w:rsidP="00661CA5">
      <w:pPr>
        <w:pStyle w:val="Default"/>
        <w:rPr>
          <w:color w:val="0070C0"/>
          <w:sz w:val="20"/>
          <w:szCs w:val="20"/>
        </w:rPr>
      </w:pPr>
    </w:p>
    <w:p w14:paraId="4BD904E2" w14:textId="77777777" w:rsidR="00760F60" w:rsidRPr="003C6A93" w:rsidRDefault="00760F60" w:rsidP="00760F60">
      <w:pPr>
        <w:pStyle w:val="Default"/>
        <w:jc w:val="both"/>
        <w:rPr>
          <w:color w:val="0070C0"/>
          <w:sz w:val="20"/>
          <w:szCs w:val="20"/>
        </w:rPr>
      </w:pPr>
      <w:r w:rsidRPr="003C6A93">
        <w:rPr>
          <w:color w:val="0070C0"/>
          <w:sz w:val="20"/>
          <w:szCs w:val="20"/>
        </w:rPr>
        <w:t>Dans sa précédente réponse, ENGIE avait souligné que, indépendamment des récentes mesures législatives et des</w:t>
      </w:r>
      <w:r>
        <w:rPr>
          <w:color w:val="0070C0"/>
          <w:sz w:val="20"/>
          <w:szCs w:val="20"/>
        </w:rPr>
        <w:t xml:space="preserve"> dispositions des</w:t>
      </w:r>
      <w:r w:rsidRPr="003C6A93">
        <w:rPr>
          <w:color w:val="0070C0"/>
          <w:sz w:val="20"/>
          <w:szCs w:val="20"/>
        </w:rPr>
        <w:t xml:space="preserve"> conventions de raccordement consommateur en vigueur depuis 2018, toute modification de la puissance de raccordement d’un consommateur devrait idéalement être soumise à un accord mutuel du gestionnaire et du client. ENGIE avait donc souligné l’importance d’un dialogue entre le gestionnaire et le client avant toute modification de puissance, offrant au client la possibilité de refuser cette modification si des raisons valables pouvaient être avancées par ce dernier. </w:t>
      </w:r>
    </w:p>
    <w:p w14:paraId="5F9D3993" w14:textId="77777777" w:rsidR="00760F60" w:rsidRDefault="00760F60" w:rsidP="00760F60">
      <w:pPr>
        <w:pStyle w:val="Default"/>
        <w:jc w:val="both"/>
        <w:rPr>
          <w:color w:val="0070C0"/>
          <w:sz w:val="20"/>
          <w:szCs w:val="20"/>
        </w:rPr>
      </w:pPr>
      <w:r w:rsidRPr="003C6A93">
        <w:rPr>
          <w:color w:val="0070C0"/>
          <w:sz w:val="20"/>
          <w:szCs w:val="20"/>
        </w:rPr>
        <w:t>La présente réponse prend acte du fait que la CRE n'est pas favorable à cette proposition, bien qu'ENGIE le déplore.</w:t>
      </w:r>
    </w:p>
    <w:p w14:paraId="65AEBFF8" w14:textId="77777777" w:rsidR="009129D4" w:rsidRDefault="009129D4" w:rsidP="00760F60">
      <w:pPr>
        <w:pStyle w:val="Default"/>
        <w:jc w:val="both"/>
        <w:rPr>
          <w:color w:val="0070C0"/>
          <w:sz w:val="20"/>
          <w:szCs w:val="20"/>
        </w:rPr>
      </w:pPr>
    </w:p>
    <w:p w14:paraId="6EB5C8A9" w14:textId="35EC5F0D" w:rsidR="009129D4" w:rsidRPr="009129D4" w:rsidRDefault="009129D4" w:rsidP="009129D4">
      <w:pPr>
        <w:pStyle w:val="Default"/>
        <w:jc w:val="both"/>
        <w:rPr>
          <w:b/>
          <w:bCs/>
          <w:color w:val="0070C0"/>
          <w:sz w:val="20"/>
          <w:szCs w:val="20"/>
        </w:rPr>
      </w:pPr>
      <w:r w:rsidRPr="0799BCA5">
        <w:rPr>
          <w:b/>
          <w:bCs/>
          <w:color w:val="0070C0"/>
          <w:sz w:val="20"/>
          <w:szCs w:val="20"/>
        </w:rPr>
        <w:t xml:space="preserve"> </w:t>
      </w:r>
      <w:r w:rsidR="0051745D" w:rsidRPr="0799BCA5">
        <w:rPr>
          <w:b/>
          <w:bCs/>
          <w:color w:val="0070C0"/>
          <w:sz w:val="20"/>
          <w:szCs w:val="20"/>
        </w:rPr>
        <w:t xml:space="preserve">Au-delà </w:t>
      </w:r>
      <w:r w:rsidR="00A67E04" w:rsidRPr="0799BCA5">
        <w:rPr>
          <w:b/>
          <w:bCs/>
          <w:color w:val="0070C0"/>
          <w:sz w:val="20"/>
          <w:szCs w:val="20"/>
        </w:rPr>
        <w:t xml:space="preserve">ENGIE remercie la CRE pour </w:t>
      </w:r>
      <w:r w:rsidR="00BB6156" w:rsidRPr="0799BCA5">
        <w:rPr>
          <w:b/>
          <w:bCs/>
          <w:color w:val="0070C0"/>
          <w:sz w:val="20"/>
          <w:szCs w:val="20"/>
        </w:rPr>
        <w:t>la prise en compte</w:t>
      </w:r>
      <w:r w:rsidR="1C139BB8" w:rsidRPr="0799BCA5">
        <w:rPr>
          <w:b/>
          <w:bCs/>
          <w:color w:val="0070C0"/>
          <w:sz w:val="20"/>
          <w:szCs w:val="20"/>
        </w:rPr>
        <w:t xml:space="preserve"> via cette seconde consultation, </w:t>
      </w:r>
      <w:r w:rsidR="00BB6156" w:rsidRPr="0799BCA5">
        <w:rPr>
          <w:b/>
          <w:bCs/>
          <w:color w:val="0070C0"/>
          <w:sz w:val="20"/>
          <w:szCs w:val="20"/>
        </w:rPr>
        <w:t xml:space="preserve"> </w:t>
      </w:r>
      <w:r w:rsidR="00711FA6" w:rsidRPr="0799BCA5">
        <w:rPr>
          <w:b/>
          <w:bCs/>
          <w:color w:val="0070C0"/>
          <w:sz w:val="20"/>
          <w:szCs w:val="20"/>
        </w:rPr>
        <w:t>des contributions reçues lors de la précédente consultation.</w:t>
      </w:r>
    </w:p>
    <w:p w14:paraId="4EBEC101" w14:textId="5A2174BA" w:rsidR="00D07732" w:rsidRDefault="009129D4" w:rsidP="009129D4">
      <w:pPr>
        <w:pStyle w:val="Default"/>
        <w:jc w:val="both"/>
        <w:rPr>
          <w:color w:val="0070C0"/>
          <w:sz w:val="20"/>
          <w:szCs w:val="20"/>
        </w:rPr>
      </w:pPr>
      <w:r w:rsidRPr="009129D4">
        <w:rPr>
          <w:color w:val="0070C0"/>
          <w:sz w:val="20"/>
          <w:szCs w:val="20"/>
        </w:rPr>
        <w:t>De manière générale,</w:t>
      </w:r>
      <w:r w:rsidR="00711FA6">
        <w:rPr>
          <w:color w:val="0070C0"/>
          <w:sz w:val="20"/>
          <w:szCs w:val="20"/>
        </w:rPr>
        <w:t xml:space="preserve"> ENGIE est</w:t>
      </w:r>
      <w:r w:rsidR="00FC130B">
        <w:rPr>
          <w:color w:val="0070C0"/>
          <w:sz w:val="20"/>
          <w:szCs w:val="20"/>
        </w:rPr>
        <w:t>, avec quelques nuances,</w:t>
      </w:r>
      <w:r w:rsidR="00711FA6">
        <w:rPr>
          <w:color w:val="0070C0"/>
          <w:sz w:val="20"/>
          <w:szCs w:val="20"/>
        </w:rPr>
        <w:t xml:space="preserve"> g</w:t>
      </w:r>
      <w:r w:rsidR="00711FA6" w:rsidRPr="00711FA6">
        <w:rPr>
          <w:color w:val="0070C0"/>
          <w:sz w:val="20"/>
          <w:szCs w:val="20"/>
        </w:rPr>
        <w:t>lobalement favorable</w:t>
      </w:r>
      <w:r w:rsidR="00D07732">
        <w:rPr>
          <w:color w:val="0070C0"/>
          <w:sz w:val="20"/>
          <w:szCs w:val="20"/>
        </w:rPr>
        <w:t xml:space="preserve"> aux </w:t>
      </w:r>
      <w:r w:rsidR="005F29C3">
        <w:rPr>
          <w:color w:val="0070C0"/>
          <w:sz w:val="20"/>
          <w:szCs w:val="20"/>
        </w:rPr>
        <w:t xml:space="preserve">nouvelles </w:t>
      </w:r>
      <w:r w:rsidR="00D07732">
        <w:rPr>
          <w:color w:val="0070C0"/>
          <w:sz w:val="20"/>
          <w:szCs w:val="20"/>
        </w:rPr>
        <w:t>propositions de la CRE.</w:t>
      </w:r>
    </w:p>
    <w:p w14:paraId="4EDFF587" w14:textId="4AB86E08" w:rsidR="009129D4" w:rsidRPr="009129D4" w:rsidRDefault="009129D4" w:rsidP="009129D4">
      <w:pPr>
        <w:pStyle w:val="Default"/>
        <w:jc w:val="both"/>
        <w:rPr>
          <w:color w:val="0070C0"/>
          <w:sz w:val="20"/>
          <w:szCs w:val="20"/>
        </w:rPr>
      </w:pPr>
      <w:r w:rsidRPr="0799BCA5">
        <w:rPr>
          <w:color w:val="0070C0"/>
          <w:sz w:val="20"/>
          <w:szCs w:val="20"/>
        </w:rPr>
        <w:t>ENGIE sou</w:t>
      </w:r>
      <w:r w:rsidR="00833A3A">
        <w:rPr>
          <w:color w:val="0070C0"/>
          <w:sz w:val="20"/>
          <w:szCs w:val="20"/>
        </w:rPr>
        <w:t xml:space="preserve">haiterait toutefois que </w:t>
      </w:r>
      <w:r w:rsidR="00860EA7">
        <w:rPr>
          <w:color w:val="0070C0"/>
          <w:sz w:val="20"/>
          <w:szCs w:val="20"/>
        </w:rPr>
        <w:t xml:space="preserve">de telles dispositions ne prennent effet sur les raccordements existants </w:t>
      </w:r>
      <w:r w:rsidR="00C32853">
        <w:rPr>
          <w:color w:val="0070C0"/>
          <w:sz w:val="20"/>
          <w:szCs w:val="20"/>
        </w:rPr>
        <w:t xml:space="preserve">qu’après </w:t>
      </w:r>
      <w:r w:rsidR="003D57FE">
        <w:rPr>
          <w:color w:val="0070C0"/>
          <w:sz w:val="20"/>
          <w:szCs w:val="20"/>
        </w:rPr>
        <w:t xml:space="preserve">un délai </w:t>
      </w:r>
      <w:r w:rsidR="00266E2A">
        <w:rPr>
          <w:color w:val="0070C0"/>
          <w:sz w:val="20"/>
          <w:szCs w:val="20"/>
        </w:rPr>
        <w:t xml:space="preserve">de prise en compte (e.g. </w:t>
      </w:r>
      <w:r w:rsidR="00DE5353">
        <w:rPr>
          <w:color w:val="0070C0"/>
          <w:sz w:val="20"/>
          <w:szCs w:val="20"/>
        </w:rPr>
        <w:t xml:space="preserve">2 ou </w:t>
      </w:r>
      <w:r w:rsidR="00C17FF7" w:rsidRPr="0799BCA5">
        <w:rPr>
          <w:color w:val="0070C0"/>
          <w:sz w:val="20"/>
          <w:szCs w:val="20"/>
        </w:rPr>
        <w:t>3 ans après la publication de la délibération de la CRE</w:t>
      </w:r>
      <w:r w:rsidR="00DE5353">
        <w:rPr>
          <w:color w:val="0070C0"/>
          <w:sz w:val="20"/>
          <w:szCs w:val="20"/>
        </w:rPr>
        <w:t>)</w:t>
      </w:r>
      <w:r w:rsidRPr="0799BCA5">
        <w:rPr>
          <w:color w:val="0070C0"/>
          <w:sz w:val="20"/>
          <w:szCs w:val="20"/>
        </w:rPr>
        <w:t xml:space="preserve">. </w:t>
      </w:r>
      <w:r w:rsidR="00C17FF7" w:rsidRPr="0799BCA5">
        <w:rPr>
          <w:color w:val="0070C0"/>
          <w:sz w:val="20"/>
          <w:szCs w:val="20"/>
        </w:rPr>
        <w:t>Ce</w:t>
      </w:r>
      <w:r w:rsidR="00DE5353">
        <w:rPr>
          <w:color w:val="0070C0"/>
          <w:sz w:val="20"/>
          <w:szCs w:val="20"/>
        </w:rPr>
        <w:t xml:space="preserve"> délai permettrait sur les différents sites </w:t>
      </w:r>
      <w:r w:rsidR="006E214F">
        <w:rPr>
          <w:color w:val="0070C0"/>
          <w:sz w:val="20"/>
          <w:szCs w:val="20"/>
        </w:rPr>
        <w:t xml:space="preserve">d’apprécier dans quelle mesure les perspectives de développement </w:t>
      </w:r>
      <w:r w:rsidR="00B94C1D">
        <w:rPr>
          <w:color w:val="0070C0"/>
          <w:sz w:val="20"/>
          <w:szCs w:val="20"/>
        </w:rPr>
        <w:t xml:space="preserve">devraient conduire à </w:t>
      </w:r>
      <w:r w:rsidR="00D97866">
        <w:rPr>
          <w:color w:val="0070C0"/>
          <w:sz w:val="20"/>
          <w:szCs w:val="20"/>
        </w:rPr>
        <w:t xml:space="preserve">de nouvelles </w:t>
      </w:r>
      <w:r w:rsidR="00BF02B5" w:rsidRPr="0799BCA5">
        <w:rPr>
          <w:color w:val="0070C0"/>
          <w:sz w:val="20"/>
          <w:szCs w:val="20"/>
        </w:rPr>
        <w:t xml:space="preserve"> demandes de raccordements auprès du gestionnaire de réseau concerné. </w:t>
      </w:r>
    </w:p>
    <w:p w14:paraId="43244F13" w14:textId="77777777" w:rsidR="009129D4" w:rsidRPr="003C6A93" w:rsidRDefault="009129D4" w:rsidP="00760F60">
      <w:pPr>
        <w:pStyle w:val="Default"/>
        <w:jc w:val="both"/>
        <w:rPr>
          <w:color w:val="0070C0"/>
          <w:sz w:val="20"/>
          <w:szCs w:val="20"/>
        </w:rPr>
      </w:pPr>
    </w:p>
    <w:p w14:paraId="7FA6C6B3" w14:textId="77777777" w:rsidR="00760F60" w:rsidRPr="00661CA5" w:rsidRDefault="00760F60" w:rsidP="00661CA5">
      <w:pPr>
        <w:pStyle w:val="Default"/>
        <w:rPr>
          <w:color w:val="0070C0"/>
          <w:sz w:val="20"/>
          <w:szCs w:val="20"/>
        </w:rPr>
      </w:pPr>
    </w:p>
    <w:p w14:paraId="152D1C7B" w14:textId="77777777" w:rsidR="00661CA5" w:rsidRDefault="00661CA5" w:rsidP="00661CA5">
      <w:pPr>
        <w:pStyle w:val="Default"/>
        <w:rPr>
          <w:sz w:val="20"/>
          <w:szCs w:val="20"/>
        </w:rPr>
      </w:pPr>
    </w:p>
    <w:p w14:paraId="69C12751" w14:textId="77777777" w:rsidR="00661CA5" w:rsidRDefault="00661CA5" w:rsidP="00661CA5">
      <w:pPr>
        <w:pStyle w:val="Default"/>
        <w:rPr>
          <w:sz w:val="20"/>
          <w:szCs w:val="20"/>
        </w:rPr>
      </w:pPr>
    </w:p>
    <w:p w14:paraId="5765213E" w14:textId="7EAA63BC" w:rsidR="00661CA5" w:rsidRDefault="00661CA5" w:rsidP="00661CA5">
      <w:pPr>
        <w:pStyle w:val="Default"/>
        <w:rPr>
          <w:sz w:val="20"/>
          <w:szCs w:val="20"/>
        </w:rPr>
      </w:pPr>
      <w:r w:rsidRPr="51A73C01">
        <w:rPr>
          <w:sz w:val="20"/>
          <w:szCs w:val="20"/>
        </w:rPr>
        <w:t>Question 1 : Etes-vous favorable au passage à un système permettant à l’utilisateur d’avoir deux options concernant sa demande de raccordement ou d’augmentation de puissance de raccordement (avec ou sans montée en charge progressive) ?</w:t>
      </w:r>
    </w:p>
    <w:p w14:paraId="1E3CA590" w14:textId="394C7F73" w:rsidR="51A73C01" w:rsidRDefault="51A73C01" w:rsidP="51A73C01">
      <w:pPr>
        <w:pStyle w:val="Default"/>
        <w:rPr>
          <w:sz w:val="20"/>
          <w:szCs w:val="20"/>
        </w:rPr>
      </w:pPr>
    </w:p>
    <w:p w14:paraId="24D627B4" w14:textId="77777777" w:rsidR="004209DD" w:rsidRDefault="004209DD" w:rsidP="00F16583">
      <w:pPr>
        <w:pStyle w:val="Default"/>
        <w:jc w:val="both"/>
        <w:rPr>
          <w:color w:val="0070C0"/>
          <w:sz w:val="20"/>
          <w:szCs w:val="20"/>
        </w:rPr>
      </w:pPr>
    </w:p>
    <w:p w14:paraId="1644688F" w14:textId="34784FD6" w:rsidR="004209DD" w:rsidRPr="004209DD" w:rsidRDefault="004209DD" w:rsidP="00F16583">
      <w:pPr>
        <w:pStyle w:val="Default"/>
        <w:jc w:val="both"/>
        <w:rPr>
          <w:b/>
          <w:bCs/>
          <w:color w:val="0070C0"/>
          <w:sz w:val="20"/>
          <w:szCs w:val="20"/>
        </w:rPr>
      </w:pPr>
      <w:r w:rsidRPr="004209DD">
        <w:rPr>
          <w:b/>
          <w:bCs/>
          <w:color w:val="0070C0"/>
          <w:sz w:val="20"/>
          <w:szCs w:val="20"/>
        </w:rPr>
        <w:t>ENGIE est favorable aux 2 options proposées par la CRE :</w:t>
      </w:r>
    </w:p>
    <w:p w14:paraId="596BEBAC" w14:textId="77777777" w:rsidR="004209DD" w:rsidRPr="004209DD" w:rsidRDefault="004209DD" w:rsidP="00F16583">
      <w:pPr>
        <w:pStyle w:val="Default"/>
        <w:numPr>
          <w:ilvl w:val="0"/>
          <w:numId w:val="4"/>
        </w:numPr>
        <w:jc w:val="both"/>
        <w:rPr>
          <w:color w:val="0070C0"/>
          <w:sz w:val="20"/>
          <w:szCs w:val="20"/>
        </w:rPr>
      </w:pPr>
      <w:r w:rsidRPr="004209DD">
        <w:rPr>
          <w:color w:val="0070C0"/>
          <w:sz w:val="20"/>
          <w:szCs w:val="20"/>
        </w:rPr>
        <w:t>Option 1 : Demande de raccordement pour la puissance de raccordement finale sans montée en charge.</w:t>
      </w:r>
    </w:p>
    <w:p w14:paraId="7C17D0EE" w14:textId="1C3D0864" w:rsidR="004209DD" w:rsidRPr="00661CA5" w:rsidRDefault="004209DD" w:rsidP="00F16583">
      <w:pPr>
        <w:pStyle w:val="Default"/>
        <w:numPr>
          <w:ilvl w:val="0"/>
          <w:numId w:val="4"/>
        </w:numPr>
        <w:jc w:val="both"/>
        <w:rPr>
          <w:color w:val="0070C0"/>
          <w:sz w:val="20"/>
          <w:szCs w:val="20"/>
        </w:rPr>
      </w:pPr>
      <w:r w:rsidRPr="004209DD">
        <w:rPr>
          <w:color w:val="0070C0"/>
          <w:sz w:val="20"/>
          <w:szCs w:val="20"/>
        </w:rPr>
        <w:t>Option 2 : Montée en charge progressive jusqu’à 10 ans avec échéances intermédiaires.</w:t>
      </w:r>
    </w:p>
    <w:p w14:paraId="0A7E2249" w14:textId="43CE68B2" w:rsidR="3EA2D47E" w:rsidRDefault="3EA2D47E" w:rsidP="00F16583">
      <w:pPr>
        <w:pStyle w:val="Default"/>
        <w:jc w:val="both"/>
        <w:rPr>
          <w:color w:val="0070C0"/>
          <w:sz w:val="20"/>
          <w:szCs w:val="20"/>
        </w:rPr>
      </w:pPr>
    </w:p>
    <w:p w14:paraId="35D364FA" w14:textId="61B166C1" w:rsidR="00661CA5" w:rsidRDefault="00C312EE" w:rsidP="00F16583">
      <w:pPr>
        <w:pStyle w:val="Default"/>
        <w:jc w:val="both"/>
        <w:rPr>
          <w:sz w:val="20"/>
          <w:szCs w:val="20"/>
        </w:rPr>
      </w:pPr>
      <w:r>
        <w:rPr>
          <w:color w:val="0070C0"/>
          <w:sz w:val="20"/>
          <w:szCs w:val="20"/>
        </w:rPr>
        <w:t>ENGIE y est f</w:t>
      </w:r>
      <w:r w:rsidR="07C70FFD" w:rsidRPr="3535B6D4">
        <w:rPr>
          <w:color w:val="0070C0"/>
          <w:sz w:val="20"/>
          <w:szCs w:val="20"/>
        </w:rPr>
        <w:t xml:space="preserve">avorable </w:t>
      </w:r>
      <w:r w:rsidR="006676F4">
        <w:rPr>
          <w:color w:val="0070C0"/>
          <w:sz w:val="20"/>
          <w:szCs w:val="20"/>
        </w:rPr>
        <w:t>dans la mesure o</w:t>
      </w:r>
      <w:r w:rsidR="00772ACB">
        <w:rPr>
          <w:color w:val="0070C0"/>
          <w:sz w:val="20"/>
          <w:szCs w:val="20"/>
        </w:rPr>
        <w:t>ù</w:t>
      </w:r>
      <w:r w:rsidR="006676F4">
        <w:rPr>
          <w:color w:val="0070C0"/>
          <w:sz w:val="20"/>
          <w:szCs w:val="20"/>
        </w:rPr>
        <w:t xml:space="preserve"> </w:t>
      </w:r>
      <w:r w:rsidR="07C70FFD" w:rsidRPr="58DBD22B">
        <w:rPr>
          <w:color w:val="0070C0"/>
          <w:sz w:val="20"/>
          <w:szCs w:val="20"/>
        </w:rPr>
        <w:t xml:space="preserve"> </w:t>
      </w:r>
      <w:r w:rsidR="00FB1F2A">
        <w:rPr>
          <w:color w:val="0070C0"/>
          <w:sz w:val="20"/>
          <w:szCs w:val="20"/>
        </w:rPr>
        <w:t xml:space="preserve">ce système </w:t>
      </w:r>
      <w:r w:rsidR="0084459B">
        <w:rPr>
          <w:color w:val="0070C0"/>
          <w:sz w:val="20"/>
          <w:szCs w:val="20"/>
        </w:rPr>
        <w:t xml:space="preserve">est </w:t>
      </w:r>
      <w:r w:rsidR="07C70FFD" w:rsidRPr="094D4162">
        <w:rPr>
          <w:color w:val="0070C0"/>
          <w:sz w:val="20"/>
          <w:szCs w:val="20"/>
        </w:rPr>
        <w:t>susceptible</w:t>
      </w:r>
      <w:r w:rsidR="07C70FFD" w:rsidRPr="013E1C0A">
        <w:rPr>
          <w:color w:val="0070C0"/>
          <w:sz w:val="20"/>
          <w:szCs w:val="20"/>
        </w:rPr>
        <w:t xml:space="preserve"> de libérer </w:t>
      </w:r>
      <w:r w:rsidR="07C70FFD" w:rsidRPr="1EFEA72E">
        <w:rPr>
          <w:color w:val="0070C0"/>
          <w:sz w:val="20"/>
          <w:szCs w:val="20"/>
        </w:rPr>
        <w:t>de la</w:t>
      </w:r>
      <w:r w:rsidR="07C70FFD" w:rsidRPr="64CBDD9B">
        <w:rPr>
          <w:color w:val="0070C0"/>
          <w:sz w:val="20"/>
          <w:szCs w:val="20"/>
        </w:rPr>
        <w:t xml:space="preserve"> </w:t>
      </w:r>
      <w:r w:rsidR="07C70FFD" w:rsidRPr="762C0242">
        <w:rPr>
          <w:color w:val="0070C0"/>
          <w:sz w:val="20"/>
          <w:szCs w:val="20"/>
        </w:rPr>
        <w:t xml:space="preserve">capacité de </w:t>
      </w:r>
      <w:r w:rsidR="07C70FFD" w:rsidRPr="483215FC">
        <w:rPr>
          <w:color w:val="0070C0"/>
          <w:sz w:val="20"/>
          <w:szCs w:val="20"/>
        </w:rPr>
        <w:t>raccordement</w:t>
      </w:r>
      <w:r w:rsidR="41C2023C" w:rsidRPr="35E52E99">
        <w:rPr>
          <w:color w:val="0070C0"/>
          <w:sz w:val="20"/>
          <w:szCs w:val="20"/>
        </w:rPr>
        <w:t>,</w:t>
      </w:r>
      <w:r w:rsidR="47287CDD" w:rsidRPr="094E5440">
        <w:rPr>
          <w:color w:val="0070C0"/>
          <w:sz w:val="20"/>
          <w:szCs w:val="20"/>
        </w:rPr>
        <w:t xml:space="preserve"> </w:t>
      </w:r>
      <w:r w:rsidR="07C70FFD" w:rsidRPr="054F34F5">
        <w:rPr>
          <w:color w:val="0070C0"/>
          <w:sz w:val="20"/>
          <w:szCs w:val="20"/>
        </w:rPr>
        <w:t xml:space="preserve">point </w:t>
      </w:r>
      <w:r w:rsidR="07C70FFD" w:rsidRPr="7AE98B6A">
        <w:rPr>
          <w:color w:val="0070C0"/>
          <w:sz w:val="20"/>
          <w:szCs w:val="20"/>
        </w:rPr>
        <w:t xml:space="preserve">bloquant </w:t>
      </w:r>
      <w:r w:rsidR="07C70FFD" w:rsidRPr="256C743C">
        <w:rPr>
          <w:color w:val="0070C0"/>
          <w:sz w:val="20"/>
          <w:szCs w:val="20"/>
        </w:rPr>
        <w:t xml:space="preserve">aujourd’hui </w:t>
      </w:r>
      <w:r w:rsidR="3C2F5138" w:rsidRPr="00FE26CF">
        <w:rPr>
          <w:color w:val="0070C0"/>
          <w:sz w:val="20"/>
          <w:szCs w:val="20"/>
        </w:rPr>
        <w:t xml:space="preserve">pour </w:t>
      </w:r>
      <w:r w:rsidR="07C70FFD" w:rsidRPr="00FE26CF">
        <w:rPr>
          <w:color w:val="0070C0"/>
          <w:sz w:val="20"/>
          <w:szCs w:val="20"/>
        </w:rPr>
        <w:t>le développement</w:t>
      </w:r>
      <w:r w:rsidR="008328DA">
        <w:rPr>
          <w:color w:val="0070C0"/>
          <w:sz w:val="20"/>
          <w:szCs w:val="20"/>
        </w:rPr>
        <w:t xml:space="preserve"> de </w:t>
      </w:r>
      <w:r w:rsidR="007E78AC">
        <w:rPr>
          <w:color w:val="0070C0"/>
          <w:sz w:val="20"/>
          <w:szCs w:val="20"/>
        </w:rPr>
        <w:t>sites en soutirage</w:t>
      </w:r>
      <w:r w:rsidR="1296D0B2" w:rsidRPr="319168FF">
        <w:rPr>
          <w:color w:val="0070C0"/>
          <w:sz w:val="20"/>
          <w:szCs w:val="20"/>
        </w:rPr>
        <w:t>.</w:t>
      </w:r>
    </w:p>
    <w:p w14:paraId="15EBB491" w14:textId="4855E0E4" w:rsidR="00661CA5" w:rsidRDefault="5CA22E5D" w:rsidP="00F16583">
      <w:pPr>
        <w:pStyle w:val="Default"/>
        <w:jc w:val="both"/>
        <w:rPr>
          <w:sz w:val="20"/>
          <w:szCs w:val="20"/>
        </w:rPr>
      </w:pPr>
      <w:r w:rsidRPr="32328B30">
        <w:rPr>
          <w:sz w:val="20"/>
          <w:szCs w:val="20"/>
        </w:rPr>
        <w:t xml:space="preserve"> </w:t>
      </w:r>
    </w:p>
    <w:p w14:paraId="0E7ACAF6" w14:textId="77777777" w:rsidR="00661CA5" w:rsidRDefault="00661CA5" w:rsidP="00F16583">
      <w:pPr>
        <w:pStyle w:val="Default"/>
        <w:jc w:val="both"/>
        <w:rPr>
          <w:sz w:val="20"/>
          <w:szCs w:val="20"/>
        </w:rPr>
      </w:pPr>
      <w:r w:rsidRPr="6A544F23">
        <w:rPr>
          <w:sz w:val="20"/>
          <w:szCs w:val="20"/>
        </w:rPr>
        <w:t xml:space="preserve">Question 2 : Dans le cas où l’utilisateur déciderait de ne pas fournir de montée en charge mais de directement demander sa puissance de raccordement finale (option 1), êtes-vous favorable à la modification de sa puissance de raccordement après un délai de 5 ans </w:t>
      </w:r>
      <w:r w:rsidRPr="6A544F23">
        <w:rPr>
          <w:sz w:val="20"/>
          <w:szCs w:val="20"/>
          <w:u w:val="single"/>
        </w:rPr>
        <w:t xml:space="preserve">en cas de non-utilisation ? </w:t>
      </w:r>
    </w:p>
    <w:p w14:paraId="3400A0E8" w14:textId="77777777" w:rsidR="00661CA5" w:rsidRDefault="00661CA5" w:rsidP="00F16583">
      <w:pPr>
        <w:pStyle w:val="Default"/>
        <w:jc w:val="both"/>
        <w:rPr>
          <w:sz w:val="20"/>
          <w:szCs w:val="20"/>
        </w:rPr>
      </w:pPr>
    </w:p>
    <w:p w14:paraId="34983DA7" w14:textId="77777777" w:rsidR="00661CA5" w:rsidRDefault="00661CA5" w:rsidP="00F16583">
      <w:pPr>
        <w:pStyle w:val="Default"/>
        <w:jc w:val="both"/>
        <w:rPr>
          <w:sz w:val="20"/>
          <w:szCs w:val="20"/>
        </w:rPr>
      </w:pPr>
    </w:p>
    <w:p w14:paraId="2F2A9367" w14:textId="43CE68B2" w:rsidR="0B87E085" w:rsidRDefault="0B87E085" w:rsidP="00F16583">
      <w:pPr>
        <w:pStyle w:val="Default"/>
        <w:jc w:val="both"/>
        <w:rPr>
          <w:color w:val="0070C0"/>
          <w:sz w:val="20"/>
          <w:szCs w:val="20"/>
        </w:rPr>
      </w:pPr>
    </w:p>
    <w:p w14:paraId="71E752DA" w14:textId="5144DAA3" w:rsidR="00847D7D" w:rsidRDefault="268D02C6" w:rsidP="00F16583">
      <w:pPr>
        <w:pStyle w:val="Default"/>
        <w:jc w:val="both"/>
        <w:rPr>
          <w:color w:val="0070C0"/>
          <w:sz w:val="20"/>
          <w:szCs w:val="20"/>
        </w:rPr>
      </w:pPr>
      <w:r w:rsidRPr="4B7FED9A">
        <w:rPr>
          <w:color w:val="0070C0"/>
          <w:sz w:val="20"/>
          <w:szCs w:val="20"/>
        </w:rPr>
        <w:t xml:space="preserve">Ce délai de 5 ans semble suffisamment long pour couvrir </w:t>
      </w:r>
      <w:r w:rsidR="7C8448C5" w:rsidRPr="4B7FED9A">
        <w:rPr>
          <w:color w:val="0070C0"/>
          <w:sz w:val="20"/>
          <w:szCs w:val="20"/>
        </w:rPr>
        <w:t>la majeure partie</w:t>
      </w:r>
      <w:r w:rsidRPr="4B7FED9A">
        <w:rPr>
          <w:color w:val="0070C0"/>
          <w:sz w:val="20"/>
          <w:szCs w:val="20"/>
        </w:rPr>
        <w:t xml:space="preserve"> des</w:t>
      </w:r>
      <w:r w:rsidR="7D2E2A1B" w:rsidRPr="4B7FED9A">
        <w:rPr>
          <w:color w:val="0070C0"/>
          <w:sz w:val="20"/>
          <w:szCs w:val="20"/>
        </w:rPr>
        <w:t xml:space="preserve"> cas d’usage</w:t>
      </w:r>
      <w:r w:rsidR="00156CF5">
        <w:rPr>
          <w:color w:val="0070C0"/>
          <w:sz w:val="20"/>
          <w:szCs w:val="20"/>
        </w:rPr>
        <w:t xml:space="preserve">. </w:t>
      </w:r>
    </w:p>
    <w:p w14:paraId="332E68E0" w14:textId="77777777" w:rsidR="00653056" w:rsidRDefault="000C53DC" w:rsidP="00F16583">
      <w:pPr>
        <w:pStyle w:val="Default"/>
        <w:jc w:val="both"/>
        <w:rPr>
          <w:color w:val="0070C0"/>
          <w:sz w:val="20"/>
          <w:szCs w:val="20"/>
        </w:rPr>
      </w:pPr>
      <w:r>
        <w:rPr>
          <w:color w:val="0070C0"/>
          <w:sz w:val="20"/>
          <w:szCs w:val="20"/>
        </w:rPr>
        <w:t xml:space="preserve">Si un site devait être </w:t>
      </w:r>
      <w:r w:rsidR="005C2F4E">
        <w:rPr>
          <w:color w:val="0070C0"/>
          <w:sz w:val="20"/>
          <w:szCs w:val="20"/>
        </w:rPr>
        <w:t>confronté à des circonstances tout à fait exceptionnelles qui justifient qu</w:t>
      </w:r>
      <w:r w:rsidR="008A3B3F">
        <w:rPr>
          <w:color w:val="0070C0"/>
          <w:sz w:val="20"/>
          <w:szCs w:val="20"/>
        </w:rPr>
        <w:t xml:space="preserve">e sur une période donnée </w:t>
      </w:r>
      <w:r w:rsidR="00C17E5B">
        <w:rPr>
          <w:color w:val="0070C0"/>
          <w:sz w:val="20"/>
          <w:szCs w:val="20"/>
        </w:rPr>
        <w:t>un historique de 5 ans ne présente pas de pertinence</w:t>
      </w:r>
      <w:r w:rsidR="00BC2771">
        <w:rPr>
          <w:color w:val="0070C0"/>
          <w:sz w:val="20"/>
          <w:szCs w:val="20"/>
        </w:rPr>
        <w:t xml:space="preserve">, </w:t>
      </w:r>
      <w:r w:rsidR="00544D00">
        <w:rPr>
          <w:color w:val="0070C0"/>
          <w:sz w:val="20"/>
          <w:szCs w:val="20"/>
        </w:rPr>
        <w:t>sans remettre en cause l’automaticité des calculs</w:t>
      </w:r>
      <w:r w:rsidR="003E0B6D">
        <w:rPr>
          <w:color w:val="0070C0"/>
          <w:sz w:val="20"/>
          <w:szCs w:val="20"/>
        </w:rPr>
        <w:t xml:space="preserve">, </w:t>
      </w:r>
      <w:r w:rsidR="00BC2771">
        <w:rPr>
          <w:color w:val="0070C0"/>
          <w:sz w:val="20"/>
          <w:szCs w:val="20"/>
        </w:rPr>
        <w:t xml:space="preserve">un dialogue devrait pouvoir s’engager avec </w:t>
      </w:r>
      <w:r w:rsidR="003E0B6D">
        <w:rPr>
          <w:color w:val="0070C0"/>
          <w:sz w:val="20"/>
          <w:szCs w:val="20"/>
        </w:rPr>
        <w:t>le gestionnaire de réseau</w:t>
      </w:r>
      <w:r w:rsidR="008A3B3F">
        <w:rPr>
          <w:color w:val="0070C0"/>
          <w:sz w:val="20"/>
          <w:szCs w:val="20"/>
        </w:rPr>
        <w:t xml:space="preserve">. </w:t>
      </w:r>
    </w:p>
    <w:p w14:paraId="092316CE" w14:textId="14F26C38" w:rsidR="268D02C6" w:rsidRDefault="00B750BA" w:rsidP="00F16583">
      <w:pPr>
        <w:pStyle w:val="Default"/>
        <w:jc w:val="both"/>
        <w:rPr>
          <w:rFonts w:asciiTheme="minorHAnsi" w:eastAsiaTheme="minorEastAsia" w:hAnsiTheme="minorHAnsi" w:cstheme="minorBidi"/>
          <w:color w:val="0070C0"/>
          <w:sz w:val="20"/>
          <w:szCs w:val="20"/>
          <w:lang w:val="fr"/>
        </w:rPr>
      </w:pPr>
      <w:r>
        <w:rPr>
          <w:color w:val="0070C0"/>
          <w:sz w:val="20"/>
          <w:szCs w:val="20"/>
        </w:rPr>
        <w:lastRenderedPageBreak/>
        <w:t xml:space="preserve">ENGIE s’interroge également </w:t>
      </w:r>
      <w:r w:rsidR="00F025E6">
        <w:rPr>
          <w:color w:val="0070C0"/>
          <w:sz w:val="20"/>
          <w:szCs w:val="20"/>
        </w:rPr>
        <w:t>sur l’opportunité d’une approche spécifique pour les sites participant aux services systems</w:t>
      </w:r>
      <w:r w:rsidR="00123C86">
        <w:rPr>
          <w:color w:val="0070C0"/>
          <w:sz w:val="20"/>
          <w:szCs w:val="20"/>
        </w:rPr>
        <w:t>, et</w:t>
      </w:r>
      <w:r w:rsidR="135A87B2" w:rsidRPr="00711918">
        <w:rPr>
          <w:color w:val="0070C0"/>
          <w:sz w:val="20"/>
          <w:szCs w:val="20"/>
        </w:rPr>
        <w:t xml:space="preserve"> dont le soutirage effectif n’atteint pas toujours la hauteur de la puissance certifiée.</w:t>
      </w:r>
      <w:r w:rsidR="135A87B2" w:rsidRPr="020A9091">
        <w:rPr>
          <w:rFonts w:asciiTheme="minorHAnsi" w:eastAsiaTheme="minorEastAsia" w:hAnsiTheme="minorHAnsi" w:cstheme="minorBidi"/>
          <w:color w:val="0070C0"/>
          <w:sz w:val="20"/>
          <w:szCs w:val="20"/>
          <w:lang w:val="fr"/>
        </w:rPr>
        <w:t xml:space="preserve"> </w:t>
      </w:r>
    </w:p>
    <w:p w14:paraId="56B2E97F" w14:textId="585B9FBF" w:rsidR="1D2B51CD" w:rsidRDefault="1D2B51CD" w:rsidP="00F16583">
      <w:pPr>
        <w:pStyle w:val="Default"/>
        <w:jc w:val="both"/>
        <w:rPr>
          <w:sz w:val="20"/>
          <w:szCs w:val="20"/>
        </w:rPr>
      </w:pPr>
    </w:p>
    <w:p w14:paraId="4BA7E6E8" w14:textId="77777777" w:rsidR="00661CA5" w:rsidRDefault="00661CA5" w:rsidP="00F16583">
      <w:pPr>
        <w:pStyle w:val="Default"/>
        <w:jc w:val="both"/>
        <w:rPr>
          <w:sz w:val="20"/>
          <w:szCs w:val="20"/>
        </w:rPr>
      </w:pPr>
    </w:p>
    <w:p w14:paraId="17C90042" w14:textId="77777777" w:rsidR="00661CA5" w:rsidRDefault="00661CA5" w:rsidP="00F16583">
      <w:pPr>
        <w:pStyle w:val="Default"/>
        <w:jc w:val="both"/>
        <w:rPr>
          <w:sz w:val="20"/>
          <w:szCs w:val="20"/>
        </w:rPr>
      </w:pPr>
      <w:r>
        <w:rPr>
          <w:sz w:val="20"/>
          <w:szCs w:val="20"/>
        </w:rPr>
        <w:t xml:space="preserve">Question 3 : Etes-vous favorable aux modalités proposées concernant la possibilité pour l’utilisateur de demander une courbe de montée en charge à un horizon de 10 ans au moment de sa demande de raccordement ou de demande d’augmentation de puissance de raccordement (option 2) ? </w:t>
      </w:r>
    </w:p>
    <w:p w14:paraId="29AA4D9B" w14:textId="77777777" w:rsidR="00AB1139" w:rsidRDefault="00AB1139" w:rsidP="00F16583">
      <w:pPr>
        <w:pStyle w:val="Default"/>
        <w:jc w:val="both"/>
        <w:rPr>
          <w:sz w:val="20"/>
          <w:szCs w:val="20"/>
        </w:rPr>
      </w:pPr>
    </w:p>
    <w:p w14:paraId="5F06D2C1" w14:textId="77777777" w:rsidR="000E3DAC" w:rsidRDefault="000E3DAC" w:rsidP="00F16583">
      <w:pPr>
        <w:pStyle w:val="Default"/>
        <w:jc w:val="both"/>
        <w:rPr>
          <w:sz w:val="20"/>
          <w:szCs w:val="20"/>
        </w:rPr>
      </w:pPr>
      <w:r>
        <w:rPr>
          <w:sz w:val="20"/>
          <w:szCs w:val="20"/>
        </w:rPr>
        <w:t xml:space="preserve">Question 4 : Dans le cas où l’utilisateur déciderait de fournir une courbe de montée en charge, êtes-vous favorable à la modification des puissances intermédiaires de la montée en charge jusqu’à la puissance de raccordement finale lorsque l’utilisateur ne respecte pas son engagement (avec une marge) ? </w:t>
      </w:r>
    </w:p>
    <w:p w14:paraId="01A19C61" w14:textId="77777777" w:rsidR="00661CA5" w:rsidRDefault="00661CA5" w:rsidP="00F16583">
      <w:pPr>
        <w:pStyle w:val="Default"/>
        <w:jc w:val="both"/>
        <w:rPr>
          <w:sz w:val="20"/>
          <w:szCs w:val="20"/>
        </w:rPr>
      </w:pPr>
    </w:p>
    <w:p w14:paraId="15161F60" w14:textId="3607593E" w:rsidR="002204D0" w:rsidRPr="002204D0" w:rsidRDefault="002204D0" w:rsidP="00F16583">
      <w:pPr>
        <w:spacing w:after="0" w:line="240" w:lineRule="auto"/>
        <w:jc w:val="both"/>
        <w:rPr>
          <w:rFonts w:ascii="Aptos" w:eastAsia="Aptos" w:hAnsi="Aptos" w:cs="Aptos"/>
          <w:color w:val="0070C0"/>
          <w14:ligatures w14:val="standardContextual"/>
        </w:rPr>
      </w:pPr>
    </w:p>
    <w:p w14:paraId="0CBE5F80" w14:textId="77777777" w:rsidR="002204D0" w:rsidRPr="00DB79A0" w:rsidRDefault="002204D0" w:rsidP="00F16583">
      <w:pPr>
        <w:numPr>
          <w:ilvl w:val="0"/>
          <w:numId w:val="5"/>
        </w:numPr>
        <w:spacing w:after="0" w:line="240" w:lineRule="auto"/>
        <w:jc w:val="both"/>
        <w:rPr>
          <w:rFonts w:ascii="Arial" w:eastAsia="Times New Roman" w:hAnsi="Arial" w:cs="Arial"/>
          <w:color w:val="0070C0"/>
          <w:sz w:val="20"/>
          <w:szCs w:val="20"/>
          <w:lang w:val="x-none"/>
          <w14:ligatures w14:val="standardContextual"/>
        </w:rPr>
      </w:pPr>
      <w:r w:rsidRPr="00DB79A0">
        <w:rPr>
          <w:rFonts w:ascii="Arial" w:eastAsia="Times New Roman" w:hAnsi="Arial" w:cs="Arial"/>
          <w:color w:val="0070C0"/>
          <w:sz w:val="20"/>
          <w:szCs w:val="20"/>
          <w14:ligatures w14:val="standardContextual"/>
        </w:rPr>
        <w:t xml:space="preserve">Nous sommes favorables à la possibilité d’une </w:t>
      </w:r>
      <w:r w:rsidRPr="00DB79A0">
        <w:rPr>
          <w:rFonts w:ascii="Arial" w:eastAsia="Times New Roman" w:hAnsi="Arial" w:cs="Arial"/>
          <w:color w:val="0070C0"/>
          <w:sz w:val="20"/>
          <w:szCs w:val="20"/>
          <w:lang w:val="x-none"/>
          <w14:ligatures w14:val="standardContextual"/>
        </w:rPr>
        <w:t xml:space="preserve">montée en charge de la puissance souscrite sur 10 ans, avec 2 points intermédiaires. Il faut néanmoins que ces 2 points intermédiaires soient fixés </w:t>
      </w:r>
      <w:r w:rsidRPr="00DB79A0">
        <w:rPr>
          <w:rFonts w:ascii="Arial" w:eastAsia="Times New Roman" w:hAnsi="Arial" w:cs="Arial"/>
          <w:b/>
          <w:bCs/>
          <w:color w:val="0070C0"/>
          <w:sz w:val="20"/>
          <w:szCs w:val="20"/>
          <w:lang w:val="x-none"/>
          <w14:ligatures w14:val="standardContextual"/>
        </w:rPr>
        <w:t>en fonction du projet</w:t>
      </w:r>
      <w:r w:rsidRPr="00DB79A0">
        <w:rPr>
          <w:rFonts w:ascii="Arial" w:eastAsia="Times New Roman" w:hAnsi="Arial" w:cs="Arial"/>
          <w:color w:val="0070C0"/>
          <w:sz w:val="20"/>
          <w:szCs w:val="20"/>
          <w:lang w:val="x-none"/>
          <w14:ligatures w14:val="standardContextual"/>
        </w:rPr>
        <w:t xml:space="preserve">, et pas nécessairement à 2 et 5 ans. (La consultation indique que les points à 2 et 5 ans sont un exemple. Si tel est le cas, cela semble approprié.) </w:t>
      </w:r>
    </w:p>
    <w:p w14:paraId="12573593" w14:textId="6DBFED93" w:rsidR="002204D0" w:rsidRPr="00DB79A0" w:rsidRDefault="00AB1139" w:rsidP="00F16583">
      <w:pPr>
        <w:numPr>
          <w:ilvl w:val="0"/>
          <w:numId w:val="5"/>
        </w:numPr>
        <w:spacing w:after="0" w:line="240" w:lineRule="auto"/>
        <w:jc w:val="both"/>
        <w:rPr>
          <w:rFonts w:ascii="Arial" w:eastAsiaTheme="minorEastAsia" w:hAnsi="Arial" w:cs="Arial"/>
          <w:color w:val="0070C0"/>
          <w:sz w:val="20"/>
          <w:szCs w:val="20"/>
          <w:lang w:val="fr"/>
        </w:rPr>
      </w:pPr>
      <w:r w:rsidRPr="00DB79A0">
        <w:rPr>
          <w:rFonts w:ascii="Arial" w:eastAsia="Times New Roman" w:hAnsi="Arial" w:cs="Arial"/>
          <w:color w:val="0070C0"/>
          <w:sz w:val="20"/>
          <w:szCs w:val="20"/>
          <w14:ligatures w14:val="standardContextual"/>
        </w:rPr>
        <w:t>I</w:t>
      </w:r>
      <w:r w:rsidR="002204D0" w:rsidRPr="00DB79A0">
        <w:rPr>
          <w:rFonts w:ascii="Arial" w:eastAsia="Times New Roman" w:hAnsi="Arial" w:cs="Arial"/>
          <w:color w:val="0070C0"/>
          <w:sz w:val="20"/>
          <w:szCs w:val="20"/>
          <w14:ligatures w14:val="standardContextual"/>
        </w:rPr>
        <w:t xml:space="preserve">l </w:t>
      </w:r>
      <w:r w:rsidR="00B44E63" w:rsidRPr="00DB79A0">
        <w:rPr>
          <w:rFonts w:ascii="Arial" w:eastAsia="Times New Roman" w:hAnsi="Arial" w:cs="Arial"/>
          <w:color w:val="0070C0"/>
          <w:sz w:val="20"/>
          <w:szCs w:val="20"/>
          <w14:ligatures w14:val="standardContextual"/>
        </w:rPr>
        <w:t>semble toutefois</w:t>
      </w:r>
      <w:r w:rsidR="002204D0" w:rsidRPr="00DB79A0">
        <w:rPr>
          <w:rFonts w:ascii="Arial" w:eastAsia="Times New Roman" w:hAnsi="Arial" w:cs="Arial"/>
          <w:color w:val="0070C0"/>
          <w:sz w:val="20"/>
          <w:szCs w:val="20"/>
          <w14:ligatures w14:val="standardContextual"/>
        </w:rPr>
        <w:t xml:space="preserve"> nécessaire </w:t>
      </w:r>
      <w:r w:rsidR="00803049" w:rsidRPr="00DB79A0">
        <w:rPr>
          <w:rFonts w:ascii="Arial" w:eastAsia="Times New Roman" w:hAnsi="Arial" w:cs="Arial"/>
          <w:color w:val="0070C0"/>
          <w:sz w:val="20"/>
          <w:szCs w:val="20"/>
          <w14:ligatures w14:val="standardContextual"/>
        </w:rPr>
        <w:t>que ces sites puissent</w:t>
      </w:r>
      <w:r w:rsidR="002204D0" w:rsidRPr="00DB79A0">
        <w:rPr>
          <w:rFonts w:ascii="Arial" w:eastAsia="Times New Roman" w:hAnsi="Arial" w:cs="Arial"/>
          <w:color w:val="0070C0"/>
          <w:sz w:val="20"/>
          <w:szCs w:val="20"/>
          <w14:ligatures w14:val="standardContextual"/>
        </w:rPr>
        <w:t xml:space="preserve"> bénéficier d’une </w:t>
      </w:r>
      <w:r w:rsidR="00803049" w:rsidRPr="00DB79A0">
        <w:rPr>
          <w:rFonts w:ascii="Arial" w:eastAsia="Times New Roman" w:hAnsi="Arial" w:cs="Arial"/>
          <w:color w:val="0070C0"/>
          <w:sz w:val="20"/>
          <w:szCs w:val="20"/>
          <w14:ligatures w14:val="standardContextual"/>
        </w:rPr>
        <w:t xml:space="preserve">certaine souplesse </w:t>
      </w:r>
      <w:r w:rsidR="00947186" w:rsidRPr="00DB79A0">
        <w:rPr>
          <w:rFonts w:ascii="Arial" w:eastAsia="Times New Roman" w:hAnsi="Arial" w:cs="Arial"/>
          <w:color w:val="0070C0"/>
          <w:sz w:val="20"/>
          <w:szCs w:val="20"/>
          <w14:ligatures w14:val="standardContextual"/>
        </w:rPr>
        <w:t>de recalage</w:t>
      </w:r>
      <w:r w:rsidR="00AF0842" w:rsidRPr="00DB79A0">
        <w:rPr>
          <w:rFonts w:ascii="Arial" w:eastAsia="Times New Roman" w:hAnsi="Arial" w:cs="Arial"/>
          <w:color w:val="0070C0"/>
          <w:sz w:val="20"/>
          <w:szCs w:val="20"/>
          <w14:ligatures w14:val="standardContextual"/>
        </w:rPr>
        <w:t xml:space="preserve"> négocié</w:t>
      </w:r>
      <w:r w:rsidR="003A4447" w:rsidRPr="00DB79A0">
        <w:rPr>
          <w:rFonts w:ascii="Arial" w:eastAsia="Times New Roman" w:hAnsi="Arial" w:cs="Arial"/>
          <w:color w:val="0070C0"/>
          <w:sz w:val="20"/>
          <w:szCs w:val="20"/>
          <w14:ligatures w14:val="standardContextual"/>
        </w:rPr>
        <w:t>e</w:t>
      </w:r>
      <w:r w:rsidR="00AC771E" w:rsidRPr="00DB79A0">
        <w:rPr>
          <w:rFonts w:ascii="Arial" w:eastAsia="Times New Roman" w:hAnsi="Arial" w:cs="Arial"/>
          <w:color w:val="0070C0"/>
          <w:sz w:val="20"/>
          <w:szCs w:val="20"/>
          <w14:ligatures w14:val="standardContextual"/>
        </w:rPr>
        <w:t xml:space="preserve"> </w:t>
      </w:r>
      <w:r w:rsidR="00B241E7" w:rsidRPr="00DB79A0">
        <w:rPr>
          <w:rFonts w:ascii="Arial" w:eastAsia="Times New Roman" w:hAnsi="Arial" w:cs="Arial"/>
          <w:color w:val="0070C0"/>
          <w:sz w:val="20"/>
          <w:szCs w:val="20"/>
          <w14:ligatures w14:val="standardContextual"/>
        </w:rPr>
        <w:t xml:space="preserve">et encadrée </w:t>
      </w:r>
      <w:r w:rsidR="00947186" w:rsidRPr="00DB79A0">
        <w:rPr>
          <w:rFonts w:ascii="Arial" w:eastAsia="Times New Roman" w:hAnsi="Arial" w:cs="Arial"/>
          <w:color w:val="0070C0"/>
          <w:sz w:val="20"/>
          <w:szCs w:val="20"/>
          <w14:ligatures w14:val="standardContextual"/>
        </w:rPr>
        <w:t>de ces échéances intermédiaires</w:t>
      </w:r>
      <w:r w:rsidR="00802AC5">
        <w:rPr>
          <w:rFonts w:ascii="Arial" w:eastAsia="Times New Roman" w:hAnsi="Arial" w:cs="Arial"/>
          <w:color w:val="0070C0"/>
          <w:sz w:val="20"/>
          <w:szCs w:val="20"/>
          <w14:ligatures w14:val="standardContextual"/>
        </w:rPr>
        <w:t>.</w:t>
      </w:r>
      <w:r w:rsidR="00947186" w:rsidRPr="00DB79A0">
        <w:rPr>
          <w:rFonts w:ascii="Arial" w:eastAsia="Times New Roman" w:hAnsi="Arial" w:cs="Arial"/>
          <w:color w:val="0070C0"/>
          <w:sz w:val="20"/>
          <w:szCs w:val="20"/>
          <w14:ligatures w14:val="standardContextual"/>
        </w:rPr>
        <w:t xml:space="preserve"> </w:t>
      </w:r>
      <w:r w:rsidR="002C76BA" w:rsidRPr="00DB79A0">
        <w:rPr>
          <w:rFonts w:ascii="Arial" w:eastAsia="Times New Roman" w:hAnsi="Arial" w:cs="Arial"/>
          <w:color w:val="0070C0"/>
          <w:sz w:val="20"/>
          <w:szCs w:val="20"/>
          <w14:ligatures w14:val="standardContextual"/>
        </w:rPr>
        <w:t>La plupart des projet qui choisiront ce type de raccordement</w:t>
      </w:r>
      <w:r w:rsidR="002204D0" w:rsidRPr="00DB79A0">
        <w:rPr>
          <w:rFonts w:ascii="Arial" w:eastAsia="Times New Roman" w:hAnsi="Arial" w:cs="Arial"/>
          <w:color w:val="0070C0"/>
          <w:sz w:val="20"/>
          <w:szCs w:val="20"/>
          <w14:ligatures w14:val="standardContextual"/>
        </w:rPr>
        <w:t xml:space="preserve"> sont soumis à des incertitudes élevées sur le démarrage et la montée en puissance</w:t>
      </w:r>
      <w:r w:rsidR="002204D0" w:rsidRPr="00DB79A0">
        <w:rPr>
          <w:rFonts w:ascii="Arial" w:eastAsia="Times New Roman" w:hAnsi="Arial" w:cs="Arial"/>
          <w:color w:val="0070C0"/>
          <w:sz w:val="20"/>
          <w:szCs w:val="20"/>
          <w:lang w:val="x-none"/>
          <w14:ligatures w14:val="standardContextual"/>
        </w:rPr>
        <w:t xml:space="preserve">, </w:t>
      </w:r>
      <w:r w:rsidR="002204D0" w:rsidRPr="00DB79A0">
        <w:rPr>
          <w:rFonts w:ascii="Arial" w:eastAsia="Times New Roman" w:hAnsi="Arial" w:cs="Arial"/>
          <w:b/>
          <w:bCs/>
          <w:color w:val="0070C0"/>
          <w:sz w:val="20"/>
          <w:szCs w:val="20"/>
          <w:lang w:val="x-none"/>
          <w14:ligatures w14:val="standardContextual"/>
        </w:rPr>
        <w:t>il doit être tenu compte de</w:t>
      </w:r>
      <w:r w:rsidR="0011623D" w:rsidRPr="00DB79A0">
        <w:rPr>
          <w:rFonts w:ascii="Arial" w:eastAsia="Times New Roman" w:hAnsi="Arial" w:cs="Arial"/>
          <w:b/>
          <w:bCs/>
          <w:color w:val="0070C0"/>
          <w:sz w:val="20"/>
          <w:szCs w:val="20"/>
          <w:lang w:val="x-none"/>
          <w14:ligatures w14:val="standardContextual"/>
        </w:rPr>
        <w:t xml:space="preserve"> façon réaliste de</w:t>
      </w:r>
      <w:r w:rsidR="002204D0" w:rsidRPr="00DB79A0">
        <w:rPr>
          <w:rFonts w:ascii="Arial" w:eastAsia="Times New Roman" w:hAnsi="Arial" w:cs="Arial"/>
          <w:b/>
          <w:bCs/>
          <w:color w:val="0070C0"/>
          <w:sz w:val="20"/>
          <w:szCs w:val="20"/>
          <w:lang w:val="x-none"/>
          <w14:ligatures w14:val="standardContextual"/>
        </w:rPr>
        <w:t>s aléas de démarrage</w:t>
      </w:r>
      <w:r w:rsidR="007E17D2" w:rsidRPr="00DB79A0">
        <w:rPr>
          <w:rFonts w:ascii="Arial" w:eastAsia="Times New Roman" w:hAnsi="Arial" w:cs="Arial"/>
          <w:b/>
          <w:bCs/>
          <w:color w:val="0070C0"/>
          <w:sz w:val="20"/>
          <w:szCs w:val="20"/>
          <w:lang w:val="x-none"/>
          <w14:ligatures w14:val="standardContextual"/>
        </w:rPr>
        <w:t xml:space="preserve">. </w:t>
      </w:r>
      <w:r w:rsidR="002204D0" w:rsidRPr="00DB79A0">
        <w:rPr>
          <w:rFonts w:ascii="Arial" w:eastAsia="Times New Roman" w:hAnsi="Arial" w:cs="Arial"/>
          <w:b/>
          <w:bCs/>
          <w:color w:val="0070C0"/>
          <w:sz w:val="20"/>
          <w:szCs w:val="20"/>
          <w:lang w:val="x-none"/>
          <w14:ligatures w14:val="standardContextual"/>
        </w:rPr>
        <w:t xml:space="preserve"> </w:t>
      </w:r>
      <w:r w:rsidR="002B391B" w:rsidRPr="00DB79A0">
        <w:rPr>
          <w:rFonts w:ascii="Arial" w:eastAsia="Aptos" w:hAnsi="Arial" w:cs="Arial"/>
          <w:color w:val="0070C0"/>
          <w:sz w:val="20"/>
          <w:szCs w:val="20"/>
          <w:lang w:val="x-none"/>
          <w14:ligatures w14:val="standardContextual"/>
        </w:rPr>
        <w:t xml:space="preserve">Ceci doit pouvoir s’appliquer également </w:t>
      </w:r>
      <w:r w:rsidR="009F3435" w:rsidRPr="00DB79A0">
        <w:rPr>
          <w:rFonts w:ascii="Arial" w:eastAsia="Aptos" w:hAnsi="Arial" w:cs="Arial"/>
          <w:color w:val="0070C0"/>
          <w:sz w:val="20"/>
          <w:szCs w:val="20"/>
          <w:lang w:val="x-none"/>
          <w14:ligatures w14:val="standardContextual"/>
        </w:rPr>
        <w:t>au cas où le développement du site est plus rapide qu’envisagé lors de la déclaration des</w:t>
      </w:r>
      <w:r w:rsidR="003A4645" w:rsidRPr="00DB79A0">
        <w:rPr>
          <w:rFonts w:ascii="Arial" w:eastAsia="Aptos" w:hAnsi="Arial" w:cs="Arial"/>
          <w:color w:val="0070C0"/>
          <w:sz w:val="20"/>
          <w:szCs w:val="20"/>
          <w:lang w:val="x-none"/>
          <w14:ligatures w14:val="standardContextual"/>
        </w:rPr>
        <w:t xml:space="preserve"> </w:t>
      </w:r>
      <w:r w:rsidR="009F3435" w:rsidRPr="00DB79A0">
        <w:rPr>
          <w:rFonts w:ascii="Arial" w:eastAsia="Aptos" w:hAnsi="Arial" w:cs="Arial"/>
          <w:color w:val="0070C0"/>
          <w:sz w:val="20"/>
          <w:szCs w:val="20"/>
          <w:lang w:val="x-none"/>
          <w14:ligatures w14:val="standardContextual"/>
        </w:rPr>
        <w:t>puissances intermédiaires</w:t>
      </w:r>
      <w:r w:rsidR="003A4645" w:rsidRPr="00DB79A0">
        <w:rPr>
          <w:rFonts w:ascii="Arial" w:eastAsia="Aptos" w:hAnsi="Arial" w:cs="Arial"/>
          <w:color w:val="0070C0"/>
          <w:sz w:val="20"/>
          <w:szCs w:val="20"/>
          <w:lang w:val="x-none"/>
          <w14:ligatures w14:val="standardContextual"/>
        </w:rPr>
        <w:t xml:space="preserve">. La consultation n’est pas </w:t>
      </w:r>
      <w:r w:rsidR="000E3DAC" w:rsidRPr="00DB79A0">
        <w:rPr>
          <w:rFonts w:ascii="Arial" w:eastAsia="Aptos" w:hAnsi="Arial" w:cs="Arial"/>
          <w:color w:val="0070C0"/>
          <w:sz w:val="20"/>
          <w:szCs w:val="20"/>
          <w:lang w:val="x-none"/>
          <w14:ligatures w14:val="standardContextual"/>
        </w:rPr>
        <w:t xml:space="preserve">explicite sur ce qui se passe dans un tel cas. </w:t>
      </w:r>
    </w:p>
    <w:p w14:paraId="210E20A2" w14:textId="77777777" w:rsidR="00661CA5" w:rsidRDefault="00661CA5" w:rsidP="00F16583">
      <w:pPr>
        <w:pStyle w:val="Default"/>
        <w:jc w:val="both"/>
        <w:rPr>
          <w:sz w:val="20"/>
          <w:szCs w:val="20"/>
        </w:rPr>
      </w:pPr>
    </w:p>
    <w:p w14:paraId="380A86CA" w14:textId="77777777" w:rsidR="00661CA5" w:rsidRDefault="00661CA5" w:rsidP="00F16583">
      <w:pPr>
        <w:pStyle w:val="Default"/>
        <w:jc w:val="both"/>
        <w:rPr>
          <w:sz w:val="20"/>
          <w:szCs w:val="20"/>
        </w:rPr>
      </w:pPr>
    </w:p>
    <w:p w14:paraId="1ED2DDA8" w14:textId="77777777" w:rsidR="00661CA5" w:rsidRDefault="00661CA5" w:rsidP="00F16583">
      <w:pPr>
        <w:pStyle w:val="Default"/>
        <w:jc w:val="both"/>
        <w:rPr>
          <w:sz w:val="20"/>
          <w:szCs w:val="20"/>
        </w:rPr>
      </w:pPr>
    </w:p>
    <w:p w14:paraId="61359720" w14:textId="77777777" w:rsidR="00220209" w:rsidRDefault="00661CA5" w:rsidP="00F16583">
      <w:pPr>
        <w:pStyle w:val="Default"/>
        <w:jc w:val="both"/>
        <w:rPr>
          <w:sz w:val="20"/>
          <w:szCs w:val="20"/>
        </w:rPr>
      </w:pPr>
      <w:r>
        <w:rPr>
          <w:sz w:val="20"/>
          <w:szCs w:val="20"/>
        </w:rPr>
        <w:t xml:space="preserve">Question 5 : Etes-vous favorable au niveau de prise en charge des coûts par le TURPE proposé par la CRE (60 % des coûts restant après réfaction) ? </w:t>
      </w:r>
    </w:p>
    <w:p w14:paraId="743D367D" w14:textId="77777777" w:rsidR="00220209" w:rsidRDefault="00220209" w:rsidP="00F16583">
      <w:pPr>
        <w:pStyle w:val="Default"/>
        <w:jc w:val="both"/>
        <w:rPr>
          <w:sz w:val="20"/>
          <w:szCs w:val="20"/>
        </w:rPr>
      </w:pPr>
    </w:p>
    <w:p w14:paraId="6048BAE5" w14:textId="7AAE7630" w:rsidR="00661CA5" w:rsidRDefault="00573135" w:rsidP="00F16583">
      <w:pPr>
        <w:pStyle w:val="Default"/>
        <w:jc w:val="both"/>
        <w:rPr>
          <w:sz w:val="20"/>
          <w:szCs w:val="20"/>
        </w:rPr>
      </w:pPr>
      <w:r>
        <w:rPr>
          <w:color w:val="0070C0"/>
          <w:sz w:val="20"/>
          <w:szCs w:val="20"/>
        </w:rPr>
        <w:t>I</w:t>
      </w:r>
      <w:r w:rsidR="00520360">
        <w:rPr>
          <w:color w:val="0070C0"/>
          <w:sz w:val="20"/>
          <w:szCs w:val="20"/>
        </w:rPr>
        <w:t xml:space="preserve">ndépendamment du niveau de la prise en charge, </w:t>
      </w:r>
      <w:r w:rsidR="00FC24AA">
        <w:rPr>
          <w:color w:val="0070C0"/>
          <w:sz w:val="20"/>
          <w:szCs w:val="20"/>
        </w:rPr>
        <w:t>n</w:t>
      </w:r>
      <w:r w:rsidR="00220209" w:rsidRPr="00AB1139">
        <w:rPr>
          <w:color w:val="0070C0"/>
          <w:sz w:val="20"/>
          <w:szCs w:val="20"/>
        </w:rPr>
        <w:t xml:space="preserve">ous </w:t>
      </w:r>
      <w:r w:rsidR="007805FC" w:rsidRPr="00AB1139">
        <w:rPr>
          <w:color w:val="0070C0"/>
          <w:sz w:val="20"/>
          <w:szCs w:val="20"/>
        </w:rPr>
        <w:t xml:space="preserve">rappelons notre souhait formulé dans notre propos introductif de disposer </w:t>
      </w:r>
      <w:r w:rsidR="00365E18" w:rsidRPr="00AB1139">
        <w:rPr>
          <w:color w:val="0070C0"/>
          <w:sz w:val="20"/>
          <w:szCs w:val="20"/>
        </w:rPr>
        <w:t xml:space="preserve">d’une période de délai avant mise en </w:t>
      </w:r>
      <w:r w:rsidR="0057719F">
        <w:rPr>
          <w:color w:val="0070C0"/>
          <w:sz w:val="20"/>
          <w:szCs w:val="20"/>
        </w:rPr>
        <w:t>application</w:t>
      </w:r>
      <w:r w:rsidR="00365E18" w:rsidRPr="00AB1139">
        <w:rPr>
          <w:color w:val="0070C0"/>
          <w:sz w:val="20"/>
          <w:szCs w:val="20"/>
        </w:rPr>
        <w:t xml:space="preserve"> </w:t>
      </w:r>
      <w:r w:rsidR="003D05B7" w:rsidRPr="00AB1139">
        <w:rPr>
          <w:color w:val="0070C0"/>
          <w:sz w:val="20"/>
          <w:szCs w:val="20"/>
        </w:rPr>
        <w:t>des mesures proposées par la CRE</w:t>
      </w:r>
      <w:r w:rsidR="00E77495" w:rsidRPr="00AB1139">
        <w:rPr>
          <w:color w:val="0070C0"/>
          <w:sz w:val="20"/>
          <w:szCs w:val="20"/>
        </w:rPr>
        <w:t xml:space="preserve"> sur les sites existants</w:t>
      </w:r>
      <w:r w:rsidR="00902A16" w:rsidRPr="00AB1139">
        <w:rPr>
          <w:color w:val="0070C0"/>
          <w:sz w:val="20"/>
          <w:szCs w:val="20"/>
        </w:rPr>
        <w:t>. En effet les sites producteurs</w:t>
      </w:r>
      <w:r w:rsidR="006478FB">
        <w:rPr>
          <w:color w:val="0070C0"/>
          <w:sz w:val="20"/>
          <w:szCs w:val="20"/>
        </w:rPr>
        <w:t>,</w:t>
      </w:r>
      <w:r w:rsidR="00902A16" w:rsidRPr="00AB1139">
        <w:rPr>
          <w:color w:val="0070C0"/>
          <w:sz w:val="20"/>
          <w:szCs w:val="20"/>
        </w:rPr>
        <w:t xml:space="preserve"> </w:t>
      </w:r>
      <w:r w:rsidR="00E77495" w:rsidRPr="00AB1139">
        <w:rPr>
          <w:color w:val="0070C0"/>
          <w:sz w:val="20"/>
          <w:szCs w:val="20"/>
        </w:rPr>
        <w:t>en particulier</w:t>
      </w:r>
      <w:r w:rsidR="006478FB">
        <w:rPr>
          <w:color w:val="0070C0"/>
          <w:sz w:val="20"/>
          <w:szCs w:val="20"/>
        </w:rPr>
        <w:t>,</w:t>
      </w:r>
      <w:r w:rsidR="00E77495" w:rsidRPr="00AB1139">
        <w:rPr>
          <w:color w:val="0070C0"/>
          <w:sz w:val="20"/>
          <w:szCs w:val="20"/>
        </w:rPr>
        <w:t xml:space="preserve"> </w:t>
      </w:r>
      <w:r w:rsidR="00902A16" w:rsidRPr="00AB1139">
        <w:rPr>
          <w:color w:val="0070C0"/>
          <w:sz w:val="20"/>
          <w:szCs w:val="20"/>
        </w:rPr>
        <w:t>n</w:t>
      </w:r>
      <w:r w:rsidR="000F32BB" w:rsidRPr="00AB1139">
        <w:rPr>
          <w:color w:val="0070C0"/>
          <w:sz w:val="20"/>
          <w:szCs w:val="20"/>
        </w:rPr>
        <w:t xml:space="preserve">’étaient jusqu’ici soumis à aucune règle </w:t>
      </w:r>
      <w:r w:rsidR="009026E0" w:rsidRPr="00AB1139">
        <w:rPr>
          <w:color w:val="0070C0"/>
          <w:sz w:val="20"/>
          <w:szCs w:val="20"/>
        </w:rPr>
        <w:t>de perte de leur puissance de raccor</w:t>
      </w:r>
      <w:r w:rsidR="00E77495" w:rsidRPr="00AB1139">
        <w:rPr>
          <w:color w:val="0070C0"/>
          <w:sz w:val="20"/>
          <w:szCs w:val="20"/>
        </w:rPr>
        <w:t>dement</w:t>
      </w:r>
      <w:r w:rsidR="009849B0" w:rsidRPr="00AB1139">
        <w:rPr>
          <w:color w:val="0070C0"/>
          <w:sz w:val="20"/>
          <w:szCs w:val="20"/>
        </w:rPr>
        <w:t xml:space="preserve"> </w:t>
      </w:r>
      <w:r w:rsidR="00D91140">
        <w:rPr>
          <w:color w:val="0070C0"/>
          <w:sz w:val="20"/>
          <w:szCs w:val="20"/>
        </w:rPr>
        <w:t xml:space="preserve">au soutirage </w:t>
      </w:r>
      <w:r w:rsidR="009849B0" w:rsidRPr="00AB1139">
        <w:rPr>
          <w:color w:val="0070C0"/>
          <w:sz w:val="20"/>
          <w:szCs w:val="20"/>
        </w:rPr>
        <w:t>et devront en prendre la mesure.</w:t>
      </w:r>
      <w:r w:rsidR="00D84D8C" w:rsidRPr="00AB1139">
        <w:rPr>
          <w:color w:val="0070C0"/>
          <w:sz w:val="20"/>
          <w:szCs w:val="20"/>
        </w:rPr>
        <w:t xml:space="preserve"> </w:t>
      </w:r>
      <w:r w:rsidR="00EF07F5" w:rsidRPr="00AB1139">
        <w:rPr>
          <w:color w:val="0070C0"/>
          <w:sz w:val="20"/>
          <w:szCs w:val="20"/>
        </w:rPr>
        <w:t xml:space="preserve"> </w:t>
      </w:r>
    </w:p>
    <w:p w14:paraId="6B4A14C2" w14:textId="77777777" w:rsidR="00661CA5" w:rsidRDefault="00661CA5" w:rsidP="00F16583">
      <w:pPr>
        <w:pStyle w:val="Default"/>
        <w:jc w:val="both"/>
        <w:rPr>
          <w:sz w:val="20"/>
          <w:szCs w:val="20"/>
        </w:rPr>
      </w:pPr>
    </w:p>
    <w:p w14:paraId="00BFACFA" w14:textId="77777777" w:rsidR="00661CA5" w:rsidRDefault="00661CA5" w:rsidP="00F16583">
      <w:pPr>
        <w:pStyle w:val="Default"/>
        <w:jc w:val="both"/>
        <w:rPr>
          <w:sz w:val="20"/>
          <w:szCs w:val="20"/>
        </w:rPr>
      </w:pPr>
    </w:p>
    <w:p w14:paraId="6136CE1D" w14:textId="77777777" w:rsidR="00661CA5" w:rsidRDefault="00661CA5" w:rsidP="00F16583">
      <w:pPr>
        <w:pStyle w:val="Default"/>
        <w:jc w:val="both"/>
        <w:rPr>
          <w:sz w:val="20"/>
          <w:szCs w:val="20"/>
        </w:rPr>
      </w:pPr>
      <w:r w:rsidRPr="6A544F23">
        <w:rPr>
          <w:sz w:val="20"/>
          <w:szCs w:val="20"/>
        </w:rPr>
        <w:t xml:space="preserve">Question 6 : Etes-vous favorable à la marge de 15 % proposée ? </w:t>
      </w:r>
    </w:p>
    <w:p w14:paraId="2E4B2003" w14:textId="19957666" w:rsidR="6A544F23" w:rsidRDefault="6A544F23" w:rsidP="00F16583">
      <w:pPr>
        <w:pStyle w:val="Default"/>
        <w:jc w:val="both"/>
        <w:rPr>
          <w:sz w:val="20"/>
          <w:szCs w:val="20"/>
        </w:rPr>
      </w:pPr>
    </w:p>
    <w:p w14:paraId="048B2548" w14:textId="77777777" w:rsidR="00AB1139" w:rsidRPr="00AB1139" w:rsidRDefault="00885D0F" w:rsidP="00F16583">
      <w:pPr>
        <w:pStyle w:val="Default"/>
        <w:jc w:val="both"/>
        <w:rPr>
          <w:color w:val="0070C0"/>
          <w:sz w:val="20"/>
          <w:szCs w:val="20"/>
        </w:rPr>
      </w:pPr>
      <w:r w:rsidRPr="00AB1139">
        <w:rPr>
          <w:color w:val="0070C0"/>
          <w:sz w:val="20"/>
          <w:szCs w:val="20"/>
        </w:rPr>
        <w:t xml:space="preserve">Hormis pour les cas de montée en régime progressive pour lesquels nous </w:t>
      </w:r>
      <w:r w:rsidR="00F340BA" w:rsidRPr="00AB1139">
        <w:rPr>
          <w:color w:val="0070C0"/>
          <w:sz w:val="20"/>
          <w:szCs w:val="20"/>
        </w:rPr>
        <w:t xml:space="preserve">réclamons </w:t>
      </w:r>
      <w:r w:rsidR="00067961" w:rsidRPr="00AB1139">
        <w:rPr>
          <w:color w:val="0070C0"/>
          <w:sz w:val="20"/>
          <w:szCs w:val="20"/>
        </w:rPr>
        <w:t xml:space="preserve">une forme de </w:t>
      </w:r>
      <w:r w:rsidR="00F340BA" w:rsidRPr="00AB1139">
        <w:rPr>
          <w:color w:val="0070C0"/>
          <w:sz w:val="20"/>
          <w:szCs w:val="20"/>
        </w:rPr>
        <w:t xml:space="preserve">souplesse, nous sommes favorables à </w:t>
      </w:r>
      <w:r w:rsidR="00067961" w:rsidRPr="00AB1139">
        <w:rPr>
          <w:color w:val="0070C0"/>
          <w:sz w:val="20"/>
          <w:szCs w:val="20"/>
        </w:rPr>
        <w:t>la marge de 15% telle que proposée.</w:t>
      </w:r>
    </w:p>
    <w:p w14:paraId="3A3A05A1" w14:textId="5C996A2D" w:rsidR="00661CA5" w:rsidRPr="00AB1139" w:rsidRDefault="00067961" w:rsidP="00F16583">
      <w:pPr>
        <w:pStyle w:val="Default"/>
        <w:jc w:val="both"/>
        <w:rPr>
          <w:sz w:val="20"/>
          <w:szCs w:val="20"/>
        </w:rPr>
      </w:pPr>
      <w:r w:rsidRPr="00AB1139">
        <w:rPr>
          <w:sz w:val="20"/>
          <w:szCs w:val="20"/>
        </w:rPr>
        <w:t xml:space="preserve"> </w:t>
      </w:r>
    </w:p>
    <w:p w14:paraId="0E8E1018" w14:textId="77777777" w:rsidR="00661CA5" w:rsidRDefault="00661CA5" w:rsidP="00F16583">
      <w:pPr>
        <w:pStyle w:val="Default"/>
        <w:jc w:val="both"/>
        <w:rPr>
          <w:sz w:val="20"/>
          <w:szCs w:val="20"/>
        </w:rPr>
      </w:pPr>
      <w:r w:rsidRPr="6A544F23">
        <w:rPr>
          <w:sz w:val="20"/>
          <w:szCs w:val="20"/>
        </w:rPr>
        <w:t xml:space="preserve">Question 7 : Etes-vous favorable à l’historique de consommation de 5 ans proposé pour déterminer la puissance maximale soutirée ? </w:t>
      </w:r>
    </w:p>
    <w:p w14:paraId="3692EDB6" w14:textId="3CE5F31F" w:rsidR="6A544F23" w:rsidRDefault="6A544F23" w:rsidP="00F16583">
      <w:pPr>
        <w:pStyle w:val="Default"/>
        <w:jc w:val="both"/>
        <w:rPr>
          <w:sz w:val="20"/>
          <w:szCs w:val="20"/>
        </w:rPr>
      </w:pPr>
    </w:p>
    <w:p w14:paraId="2A70F3E7" w14:textId="712F4460" w:rsidR="323BF984" w:rsidRPr="002F7B95" w:rsidRDefault="00CF1404" w:rsidP="007D6963">
      <w:pPr>
        <w:spacing w:after="0"/>
        <w:jc w:val="both"/>
        <w:rPr>
          <w:rFonts w:ascii="Arial" w:hAnsi="Arial" w:cs="Arial"/>
          <w:color w:val="0070C0"/>
          <w:sz w:val="20"/>
          <w:szCs w:val="20"/>
        </w:rPr>
      </w:pPr>
      <w:r w:rsidRPr="002F7B95">
        <w:rPr>
          <w:rFonts w:ascii="Arial" w:hAnsi="Arial" w:cs="Arial"/>
          <w:color w:val="0070C0"/>
          <w:sz w:val="20"/>
          <w:szCs w:val="20"/>
        </w:rPr>
        <w:t xml:space="preserve">Voir notre réponse à la question 2 sur la pertinence de l’historique de 5 ans </w:t>
      </w:r>
    </w:p>
    <w:p w14:paraId="0EB9C614" w14:textId="77777777" w:rsidR="00CF1404" w:rsidRPr="00AB1139" w:rsidRDefault="00CF1404" w:rsidP="007D6963">
      <w:pPr>
        <w:pStyle w:val="Paragraphedeliste"/>
        <w:spacing w:after="0"/>
        <w:ind w:left="360"/>
        <w:jc w:val="both"/>
        <w:rPr>
          <w:rFonts w:ascii="Arial" w:hAnsi="Arial" w:cs="Arial"/>
          <w:color w:val="000000"/>
          <w:sz w:val="20"/>
          <w:szCs w:val="20"/>
        </w:rPr>
      </w:pPr>
    </w:p>
    <w:p w14:paraId="6CED6F45" w14:textId="6078B3E3" w:rsidR="0D96DB77" w:rsidRPr="002F7B95" w:rsidRDefault="0D96DB77" w:rsidP="007D6963">
      <w:pPr>
        <w:spacing w:after="0"/>
        <w:jc w:val="both"/>
        <w:rPr>
          <w:rFonts w:ascii="Arial" w:hAnsi="Arial" w:cs="Arial"/>
          <w:color w:val="0070C0"/>
          <w:sz w:val="20"/>
          <w:szCs w:val="20"/>
        </w:rPr>
      </w:pPr>
      <w:r w:rsidRPr="002F7B95">
        <w:rPr>
          <w:rFonts w:ascii="Arial" w:hAnsi="Arial" w:cs="Arial"/>
          <w:color w:val="0070C0"/>
          <w:sz w:val="20"/>
          <w:szCs w:val="20"/>
        </w:rPr>
        <w:t xml:space="preserve">Par ailleurs, il convient de </w:t>
      </w:r>
      <w:r w:rsidR="7D232443" w:rsidRPr="002F7B95">
        <w:rPr>
          <w:rFonts w:ascii="Arial" w:hAnsi="Arial" w:cs="Arial"/>
          <w:color w:val="0070C0"/>
          <w:sz w:val="20"/>
          <w:szCs w:val="20"/>
        </w:rPr>
        <w:t>clarifier la situation des sites</w:t>
      </w:r>
      <w:r w:rsidR="000B4CB2" w:rsidRPr="002F7B95">
        <w:rPr>
          <w:rFonts w:ascii="Arial" w:hAnsi="Arial" w:cs="Arial"/>
          <w:color w:val="0070C0"/>
          <w:sz w:val="20"/>
          <w:szCs w:val="20"/>
        </w:rPr>
        <w:t xml:space="preserve"> mixte</w:t>
      </w:r>
      <w:r w:rsidR="00F31111" w:rsidRPr="002F7B95">
        <w:rPr>
          <w:rFonts w:ascii="Arial" w:hAnsi="Arial" w:cs="Arial"/>
          <w:color w:val="0070C0"/>
          <w:sz w:val="20"/>
          <w:szCs w:val="20"/>
        </w:rPr>
        <w:t xml:space="preserve">s </w:t>
      </w:r>
      <w:r w:rsidR="00542006" w:rsidRPr="002F7B95">
        <w:rPr>
          <w:rFonts w:ascii="Arial" w:hAnsi="Arial" w:cs="Arial"/>
          <w:color w:val="0070C0"/>
          <w:sz w:val="20"/>
          <w:szCs w:val="20"/>
        </w:rPr>
        <w:t>(</w:t>
      </w:r>
      <w:r w:rsidR="000B4CB2" w:rsidRPr="002F7B95">
        <w:rPr>
          <w:rFonts w:ascii="Arial" w:hAnsi="Arial" w:cs="Arial"/>
          <w:color w:val="0070C0"/>
          <w:sz w:val="20"/>
          <w:szCs w:val="20"/>
        </w:rPr>
        <w:t xml:space="preserve">e.g. un site </w:t>
      </w:r>
      <w:r w:rsidR="7D232443" w:rsidRPr="002F7B95">
        <w:rPr>
          <w:rFonts w:ascii="Arial" w:hAnsi="Arial" w:cs="Arial"/>
          <w:color w:val="0070C0"/>
          <w:sz w:val="20"/>
          <w:szCs w:val="20"/>
        </w:rPr>
        <w:t xml:space="preserve"> précédemment dédié à la production d’électricité </w:t>
      </w:r>
      <w:r w:rsidR="000B4CB2" w:rsidRPr="002F7B95">
        <w:rPr>
          <w:rFonts w:ascii="Arial" w:hAnsi="Arial" w:cs="Arial"/>
          <w:color w:val="0070C0"/>
          <w:sz w:val="20"/>
          <w:szCs w:val="20"/>
        </w:rPr>
        <w:t xml:space="preserve">qui se </w:t>
      </w:r>
      <w:r w:rsidR="7D232443" w:rsidRPr="002F7B95">
        <w:rPr>
          <w:rFonts w:ascii="Arial" w:hAnsi="Arial" w:cs="Arial"/>
          <w:color w:val="0070C0"/>
          <w:sz w:val="20"/>
          <w:szCs w:val="20"/>
        </w:rPr>
        <w:t>dote d’un moyen de stockage</w:t>
      </w:r>
      <w:r w:rsidR="00087A88" w:rsidRPr="002F7B95">
        <w:rPr>
          <w:rFonts w:ascii="Arial" w:hAnsi="Arial" w:cs="Arial"/>
          <w:color w:val="0070C0"/>
          <w:sz w:val="20"/>
          <w:szCs w:val="20"/>
        </w:rPr>
        <w:t xml:space="preserve"> ne saurait voir son historique de </w:t>
      </w:r>
      <w:r w:rsidR="00E738DF" w:rsidRPr="002F7B95">
        <w:rPr>
          <w:rFonts w:ascii="Arial" w:hAnsi="Arial" w:cs="Arial"/>
          <w:color w:val="0070C0"/>
          <w:sz w:val="20"/>
          <w:szCs w:val="20"/>
        </w:rPr>
        <w:t xml:space="preserve">fonctionnement des 5 années précédentes </w:t>
      </w:r>
      <w:r w:rsidR="003D6539" w:rsidRPr="002F7B95">
        <w:rPr>
          <w:rFonts w:ascii="Arial" w:hAnsi="Arial" w:cs="Arial"/>
          <w:color w:val="0070C0"/>
          <w:sz w:val="20"/>
          <w:szCs w:val="20"/>
        </w:rPr>
        <w:t xml:space="preserve"> -</w:t>
      </w:r>
      <w:r w:rsidR="00AF05B2">
        <w:rPr>
          <w:rFonts w:ascii="Arial" w:hAnsi="Arial" w:cs="Arial"/>
          <w:color w:val="0070C0"/>
          <w:sz w:val="20"/>
          <w:szCs w:val="20"/>
        </w:rPr>
        <w:t>essentiellement</w:t>
      </w:r>
      <w:r w:rsidR="7D232443" w:rsidRPr="002F7B95">
        <w:rPr>
          <w:rFonts w:ascii="Arial" w:hAnsi="Arial" w:cs="Arial"/>
          <w:color w:val="0070C0"/>
          <w:sz w:val="20"/>
          <w:szCs w:val="20"/>
        </w:rPr>
        <w:t xml:space="preserve"> tourné vers l’injection avant l’installation du stockage</w:t>
      </w:r>
      <w:r w:rsidR="003D6539" w:rsidRPr="002F7B95">
        <w:rPr>
          <w:rFonts w:ascii="Arial" w:hAnsi="Arial" w:cs="Arial"/>
          <w:color w:val="0070C0"/>
          <w:sz w:val="20"/>
          <w:szCs w:val="20"/>
        </w:rPr>
        <w:t>-</w:t>
      </w:r>
      <w:r w:rsidR="00186D21" w:rsidRPr="002F7B95">
        <w:rPr>
          <w:rFonts w:ascii="Arial" w:hAnsi="Arial" w:cs="Arial"/>
          <w:color w:val="0070C0"/>
          <w:sz w:val="20"/>
          <w:szCs w:val="20"/>
        </w:rPr>
        <w:t xml:space="preserve"> </w:t>
      </w:r>
      <w:r w:rsidR="7D232443" w:rsidRPr="002F7B95">
        <w:rPr>
          <w:rFonts w:ascii="Arial" w:hAnsi="Arial" w:cs="Arial"/>
          <w:color w:val="0070C0"/>
          <w:sz w:val="20"/>
          <w:szCs w:val="20"/>
        </w:rPr>
        <w:t xml:space="preserve"> servir de référence en soutirage</w:t>
      </w:r>
      <w:r w:rsidR="003D6539" w:rsidRPr="002F7B95">
        <w:rPr>
          <w:rFonts w:ascii="Arial" w:hAnsi="Arial" w:cs="Arial"/>
          <w:color w:val="0070C0"/>
          <w:sz w:val="20"/>
          <w:szCs w:val="20"/>
        </w:rPr>
        <w:t>)</w:t>
      </w:r>
      <w:r w:rsidR="7D232443" w:rsidRPr="002F7B95">
        <w:rPr>
          <w:rFonts w:ascii="Arial" w:hAnsi="Arial" w:cs="Arial"/>
          <w:color w:val="0070C0"/>
          <w:sz w:val="20"/>
          <w:szCs w:val="20"/>
        </w:rPr>
        <w:t>.</w:t>
      </w:r>
      <w:r w:rsidR="00800DC2" w:rsidRPr="002F7B95">
        <w:rPr>
          <w:rFonts w:ascii="Arial" w:hAnsi="Arial" w:cs="Arial"/>
          <w:color w:val="0070C0"/>
          <w:sz w:val="20"/>
          <w:szCs w:val="20"/>
        </w:rPr>
        <w:t xml:space="preserve"> L’appréciation d</w:t>
      </w:r>
      <w:r w:rsidR="002838D9" w:rsidRPr="002F7B95">
        <w:rPr>
          <w:rFonts w:ascii="Arial" w:hAnsi="Arial" w:cs="Arial"/>
          <w:color w:val="0070C0"/>
          <w:sz w:val="20"/>
          <w:szCs w:val="20"/>
        </w:rPr>
        <w:t>u comportement  des sites mixtes doit ainsi faire l’objet de règles spécifiques</w:t>
      </w:r>
      <w:r w:rsidR="00AB1139" w:rsidRPr="002F7B95">
        <w:rPr>
          <w:rFonts w:ascii="Arial" w:hAnsi="Arial" w:cs="Arial"/>
          <w:color w:val="0070C0"/>
          <w:sz w:val="20"/>
          <w:szCs w:val="20"/>
        </w:rPr>
        <w:t>.</w:t>
      </w:r>
      <w:r w:rsidR="00196E38" w:rsidRPr="002F7B95">
        <w:rPr>
          <w:rFonts w:ascii="Arial" w:hAnsi="Arial" w:cs="Arial"/>
          <w:color w:val="0070C0"/>
          <w:sz w:val="20"/>
          <w:szCs w:val="20"/>
        </w:rPr>
        <w:t xml:space="preserve"> </w:t>
      </w:r>
    </w:p>
    <w:p w14:paraId="3B6C770B" w14:textId="0A762A51" w:rsidR="323BF984" w:rsidRPr="002F7B95" w:rsidRDefault="323BF984" w:rsidP="00F16583">
      <w:pPr>
        <w:pStyle w:val="Default"/>
        <w:jc w:val="both"/>
        <w:rPr>
          <w:color w:val="0070C0"/>
          <w:sz w:val="20"/>
          <w:szCs w:val="20"/>
        </w:rPr>
      </w:pPr>
    </w:p>
    <w:p w14:paraId="21193906" w14:textId="3BE10ADC" w:rsidR="6A544F23" w:rsidRDefault="6A544F23" w:rsidP="00F16583">
      <w:pPr>
        <w:pStyle w:val="Default"/>
        <w:jc w:val="both"/>
        <w:rPr>
          <w:sz w:val="20"/>
          <w:szCs w:val="20"/>
        </w:rPr>
      </w:pPr>
    </w:p>
    <w:p w14:paraId="7D40D8C0" w14:textId="77777777" w:rsidR="00661CA5" w:rsidRDefault="00661CA5" w:rsidP="00F16583">
      <w:pPr>
        <w:pStyle w:val="Default"/>
        <w:jc w:val="both"/>
        <w:rPr>
          <w:sz w:val="20"/>
          <w:szCs w:val="20"/>
        </w:rPr>
      </w:pPr>
    </w:p>
    <w:p w14:paraId="7B0C2F39" w14:textId="77777777" w:rsidR="00661CA5" w:rsidRDefault="00661CA5" w:rsidP="00F16583">
      <w:pPr>
        <w:pStyle w:val="Default"/>
        <w:jc w:val="both"/>
        <w:rPr>
          <w:sz w:val="20"/>
          <w:szCs w:val="20"/>
        </w:rPr>
      </w:pPr>
      <w:r>
        <w:rPr>
          <w:sz w:val="20"/>
          <w:szCs w:val="20"/>
        </w:rPr>
        <w:t xml:space="preserve">Question 8 : Etes-vous favorable au pas de temps de 10 minutes proposé pour le calcul de la puissance maximale soutirée par l’utilisateur sur la période de 5 ans ? </w:t>
      </w:r>
    </w:p>
    <w:p w14:paraId="0A87DC34" w14:textId="77777777" w:rsidR="00661CA5" w:rsidRDefault="00661CA5" w:rsidP="00F16583">
      <w:pPr>
        <w:pStyle w:val="Default"/>
        <w:jc w:val="both"/>
        <w:rPr>
          <w:sz w:val="20"/>
          <w:szCs w:val="20"/>
        </w:rPr>
      </w:pPr>
    </w:p>
    <w:p w14:paraId="0E7B9779" w14:textId="769B4217" w:rsidR="00661CA5" w:rsidRDefault="004D7BE6" w:rsidP="00F16583">
      <w:pPr>
        <w:pStyle w:val="Default"/>
        <w:jc w:val="both"/>
        <w:rPr>
          <w:color w:val="0070C0"/>
          <w:sz w:val="20"/>
          <w:szCs w:val="20"/>
        </w:rPr>
      </w:pPr>
      <w:r>
        <w:rPr>
          <w:color w:val="0070C0"/>
          <w:sz w:val="20"/>
          <w:szCs w:val="20"/>
        </w:rPr>
        <w:lastRenderedPageBreak/>
        <w:t xml:space="preserve">Nous sommes favorable à ce pas de temps, </w:t>
      </w:r>
      <w:r w:rsidR="00FC0515">
        <w:rPr>
          <w:color w:val="0070C0"/>
          <w:sz w:val="20"/>
          <w:szCs w:val="20"/>
        </w:rPr>
        <w:t xml:space="preserve">tout en remarquant que </w:t>
      </w:r>
      <w:r w:rsidR="167F8720" w:rsidRPr="323BF984">
        <w:rPr>
          <w:color w:val="0070C0"/>
          <w:sz w:val="20"/>
          <w:szCs w:val="20"/>
        </w:rPr>
        <w:t xml:space="preserve"> tous les distributeurs tendent </w:t>
      </w:r>
      <w:r w:rsidR="009040ED">
        <w:rPr>
          <w:color w:val="0070C0"/>
          <w:sz w:val="20"/>
          <w:szCs w:val="20"/>
        </w:rPr>
        <w:t xml:space="preserve">désormais </w:t>
      </w:r>
      <w:r w:rsidR="167F8720" w:rsidRPr="323BF984">
        <w:rPr>
          <w:color w:val="0070C0"/>
          <w:sz w:val="20"/>
          <w:szCs w:val="20"/>
        </w:rPr>
        <w:t>vers un pas de temps de mesure de 5 min.</w:t>
      </w:r>
    </w:p>
    <w:p w14:paraId="7061BD55" w14:textId="46C55708" w:rsidR="323BF984" w:rsidRDefault="323BF984" w:rsidP="00F16583">
      <w:pPr>
        <w:pStyle w:val="Default"/>
        <w:jc w:val="both"/>
        <w:rPr>
          <w:color w:val="0070C0"/>
          <w:sz w:val="20"/>
          <w:szCs w:val="20"/>
        </w:rPr>
      </w:pPr>
    </w:p>
    <w:p w14:paraId="39354D2C" w14:textId="5208C383" w:rsidR="609413E7" w:rsidRDefault="609413E7" w:rsidP="00F16583">
      <w:pPr>
        <w:pStyle w:val="Default"/>
        <w:jc w:val="both"/>
        <w:rPr>
          <w:rFonts w:ascii="Calibri Light" w:eastAsia="Calibri Light" w:hAnsi="Calibri Light" w:cs="Calibri Light"/>
          <w:sz w:val="22"/>
          <w:szCs w:val="22"/>
          <w:lang w:val="fr"/>
        </w:rPr>
      </w:pPr>
    </w:p>
    <w:p w14:paraId="331EC0E6" w14:textId="27A813DB" w:rsidR="00661CA5" w:rsidRDefault="00661CA5" w:rsidP="00F16583">
      <w:pPr>
        <w:pStyle w:val="Default"/>
        <w:jc w:val="both"/>
        <w:rPr>
          <w:color w:val="0070C0"/>
          <w:sz w:val="20"/>
          <w:szCs w:val="20"/>
        </w:rPr>
      </w:pPr>
    </w:p>
    <w:p w14:paraId="779A7E92" w14:textId="77777777" w:rsidR="00661CA5" w:rsidRDefault="00661CA5" w:rsidP="00F16583">
      <w:pPr>
        <w:pStyle w:val="Default"/>
        <w:jc w:val="both"/>
        <w:rPr>
          <w:sz w:val="20"/>
          <w:szCs w:val="20"/>
        </w:rPr>
      </w:pPr>
    </w:p>
    <w:p w14:paraId="22BC98FA" w14:textId="1CB9236F" w:rsidR="00661CA5" w:rsidRDefault="00661CA5" w:rsidP="00F16583">
      <w:pPr>
        <w:pStyle w:val="Default"/>
        <w:jc w:val="both"/>
        <w:rPr>
          <w:sz w:val="20"/>
          <w:szCs w:val="20"/>
        </w:rPr>
      </w:pPr>
      <w:r>
        <w:rPr>
          <w:sz w:val="20"/>
          <w:szCs w:val="20"/>
        </w:rPr>
        <w:t>Question 9 : Etes-vous favorable à ce que la valeur de la puissance de raccordement, dès lors qu’elle a été modifiée, soit mise à jour annuellement et mise à disposition de l’utilisateur par le gestionnaire de réseau ?</w:t>
      </w:r>
    </w:p>
    <w:p w14:paraId="292C0011" w14:textId="77777777" w:rsidR="00661CA5" w:rsidRPr="00661CA5" w:rsidRDefault="00661CA5" w:rsidP="00F16583">
      <w:pPr>
        <w:pStyle w:val="Default"/>
        <w:jc w:val="both"/>
        <w:rPr>
          <w:color w:val="0070C0"/>
          <w:sz w:val="20"/>
          <w:szCs w:val="20"/>
        </w:rPr>
      </w:pPr>
    </w:p>
    <w:p w14:paraId="4E84A45A" w14:textId="153A6DC7" w:rsidR="00661CA5" w:rsidRDefault="00F16583" w:rsidP="00F16583">
      <w:pPr>
        <w:jc w:val="both"/>
      </w:pPr>
      <w:r>
        <w:rPr>
          <w:rFonts w:ascii="Arial" w:hAnsi="Arial" w:cs="Arial"/>
          <w:color w:val="0070C0"/>
          <w:sz w:val="20"/>
          <w:szCs w:val="20"/>
        </w:rPr>
        <w:t>La périodicité annuelle nous convient, mais n</w:t>
      </w:r>
      <w:r w:rsidR="00D420B3" w:rsidRPr="00AB1139">
        <w:rPr>
          <w:rFonts w:ascii="Arial" w:hAnsi="Arial" w:cs="Arial"/>
          <w:color w:val="0070C0"/>
          <w:sz w:val="20"/>
          <w:szCs w:val="20"/>
        </w:rPr>
        <w:t xml:space="preserve">ous souhaitons </w:t>
      </w:r>
      <w:r w:rsidR="00572999" w:rsidRPr="00AB1139">
        <w:rPr>
          <w:rFonts w:ascii="Arial" w:hAnsi="Arial" w:cs="Arial"/>
          <w:color w:val="0070C0"/>
          <w:sz w:val="20"/>
          <w:szCs w:val="20"/>
        </w:rPr>
        <w:t xml:space="preserve">que toute modification de puissance de raccordement fasse l’objet d’un signalement </w:t>
      </w:r>
      <w:r w:rsidR="001D7EED">
        <w:rPr>
          <w:rFonts w:ascii="Arial" w:hAnsi="Arial" w:cs="Arial"/>
          <w:color w:val="0070C0"/>
          <w:sz w:val="20"/>
          <w:szCs w:val="20"/>
        </w:rPr>
        <w:t xml:space="preserve">proactif de la part du gestionnaire de réseau </w:t>
      </w:r>
      <w:r w:rsidR="00E22D40">
        <w:rPr>
          <w:rFonts w:ascii="Arial" w:hAnsi="Arial" w:cs="Arial"/>
          <w:color w:val="0070C0"/>
          <w:sz w:val="20"/>
          <w:szCs w:val="20"/>
        </w:rPr>
        <w:t xml:space="preserve">vers l’utilisateur concerné </w:t>
      </w:r>
      <w:r w:rsidR="009E368F">
        <w:rPr>
          <w:rFonts w:ascii="Arial" w:hAnsi="Arial" w:cs="Arial"/>
          <w:color w:val="0070C0"/>
          <w:sz w:val="20"/>
          <w:szCs w:val="20"/>
        </w:rPr>
        <w:t xml:space="preserve">et ne se </w:t>
      </w:r>
      <w:r w:rsidR="008C33AB">
        <w:rPr>
          <w:rFonts w:ascii="Arial" w:hAnsi="Arial" w:cs="Arial"/>
          <w:color w:val="0070C0"/>
          <w:sz w:val="20"/>
          <w:szCs w:val="20"/>
        </w:rPr>
        <w:t xml:space="preserve">limite pas à une accessibilité </w:t>
      </w:r>
      <w:r w:rsidR="00E22D40">
        <w:rPr>
          <w:rFonts w:ascii="Arial" w:hAnsi="Arial" w:cs="Arial"/>
          <w:color w:val="0070C0"/>
          <w:sz w:val="20"/>
          <w:szCs w:val="20"/>
        </w:rPr>
        <w:t>sur un site</w:t>
      </w:r>
      <w:r w:rsidR="007E6534">
        <w:rPr>
          <w:rFonts w:ascii="Arial" w:hAnsi="Arial" w:cs="Arial"/>
          <w:color w:val="0070C0"/>
          <w:sz w:val="20"/>
          <w:szCs w:val="20"/>
        </w:rPr>
        <w:t xml:space="preserve"> internet sécurisé. </w:t>
      </w:r>
      <w:r w:rsidR="00E22D40">
        <w:rPr>
          <w:rFonts w:ascii="Arial" w:hAnsi="Arial" w:cs="Arial"/>
          <w:color w:val="0070C0"/>
          <w:sz w:val="20"/>
          <w:szCs w:val="20"/>
        </w:rPr>
        <w:t xml:space="preserve"> </w:t>
      </w:r>
    </w:p>
    <w:sectPr w:rsidR="00661C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ot;Calibri Light&quot;">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F9F41"/>
    <w:multiLevelType w:val="hybridMultilevel"/>
    <w:tmpl w:val="FFFFFFFF"/>
    <w:lvl w:ilvl="0" w:tplc="A82415A6">
      <w:start w:val="1"/>
      <w:numFmt w:val="bullet"/>
      <w:lvlText w:val="-"/>
      <w:lvlJc w:val="left"/>
      <w:pPr>
        <w:ind w:left="720" w:hanging="360"/>
      </w:pPr>
      <w:rPr>
        <w:rFonts w:ascii="&quot;Calibri Light&quot;" w:hAnsi="&quot;Calibri Light&quot;" w:hint="default"/>
      </w:rPr>
    </w:lvl>
    <w:lvl w:ilvl="1" w:tplc="047C59A8">
      <w:start w:val="1"/>
      <w:numFmt w:val="bullet"/>
      <w:lvlText w:val="o"/>
      <w:lvlJc w:val="left"/>
      <w:pPr>
        <w:ind w:left="1440" w:hanging="360"/>
      </w:pPr>
      <w:rPr>
        <w:rFonts w:ascii="Courier New" w:hAnsi="Courier New" w:hint="default"/>
      </w:rPr>
    </w:lvl>
    <w:lvl w:ilvl="2" w:tplc="EF7E62F6">
      <w:start w:val="1"/>
      <w:numFmt w:val="bullet"/>
      <w:lvlText w:val=""/>
      <w:lvlJc w:val="left"/>
      <w:pPr>
        <w:ind w:left="2160" w:hanging="360"/>
      </w:pPr>
      <w:rPr>
        <w:rFonts w:ascii="Wingdings" w:hAnsi="Wingdings" w:hint="default"/>
      </w:rPr>
    </w:lvl>
    <w:lvl w:ilvl="3" w:tplc="E4F87E3E">
      <w:start w:val="1"/>
      <w:numFmt w:val="bullet"/>
      <w:lvlText w:val=""/>
      <w:lvlJc w:val="left"/>
      <w:pPr>
        <w:ind w:left="2880" w:hanging="360"/>
      </w:pPr>
      <w:rPr>
        <w:rFonts w:ascii="Symbol" w:hAnsi="Symbol" w:hint="default"/>
      </w:rPr>
    </w:lvl>
    <w:lvl w:ilvl="4" w:tplc="B7E0C570">
      <w:start w:val="1"/>
      <w:numFmt w:val="bullet"/>
      <w:lvlText w:val="o"/>
      <w:lvlJc w:val="left"/>
      <w:pPr>
        <w:ind w:left="3600" w:hanging="360"/>
      </w:pPr>
      <w:rPr>
        <w:rFonts w:ascii="Courier New" w:hAnsi="Courier New" w:hint="default"/>
      </w:rPr>
    </w:lvl>
    <w:lvl w:ilvl="5" w:tplc="E724CC3E">
      <w:start w:val="1"/>
      <w:numFmt w:val="bullet"/>
      <w:lvlText w:val=""/>
      <w:lvlJc w:val="left"/>
      <w:pPr>
        <w:ind w:left="4320" w:hanging="360"/>
      </w:pPr>
      <w:rPr>
        <w:rFonts w:ascii="Wingdings" w:hAnsi="Wingdings" w:hint="default"/>
      </w:rPr>
    </w:lvl>
    <w:lvl w:ilvl="6" w:tplc="E4342D56">
      <w:start w:val="1"/>
      <w:numFmt w:val="bullet"/>
      <w:lvlText w:val=""/>
      <w:lvlJc w:val="left"/>
      <w:pPr>
        <w:ind w:left="5040" w:hanging="360"/>
      </w:pPr>
      <w:rPr>
        <w:rFonts w:ascii="Symbol" w:hAnsi="Symbol" w:hint="default"/>
      </w:rPr>
    </w:lvl>
    <w:lvl w:ilvl="7" w:tplc="C362FEB2">
      <w:start w:val="1"/>
      <w:numFmt w:val="bullet"/>
      <w:lvlText w:val="o"/>
      <w:lvlJc w:val="left"/>
      <w:pPr>
        <w:ind w:left="5760" w:hanging="360"/>
      </w:pPr>
      <w:rPr>
        <w:rFonts w:ascii="Courier New" w:hAnsi="Courier New" w:hint="default"/>
      </w:rPr>
    </w:lvl>
    <w:lvl w:ilvl="8" w:tplc="B8E6D35E">
      <w:start w:val="1"/>
      <w:numFmt w:val="bullet"/>
      <w:lvlText w:val=""/>
      <w:lvlJc w:val="left"/>
      <w:pPr>
        <w:ind w:left="6480" w:hanging="360"/>
      </w:pPr>
      <w:rPr>
        <w:rFonts w:ascii="Wingdings" w:hAnsi="Wingdings" w:hint="default"/>
      </w:rPr>
    </w:lvl>
  </w:abstractNum>
  <w:abstractNum w:abstractNumId="1" w15:restartNumberingAfterBreak="0">
    <w:nsid w:val="074F63EB"/>
    <w:multiLevelType w:val="hybridMultilevel"/>
    <w:tmpl w:val="FFFFFFFF"/>
    <w:lvl w:ilvl="0" w:tplc="64CA069E">
      <w:start w:val="1"/>
      <w:numFmt w:val="bullet"/>
      <w:lvlText w:val="-"/>
      <w:lvlJc w:val="left"/>
      <w:pPr>
        <w:ind w:left="720" w:hanging="360"/>
      </w:pPr>
      <w:rPr>
        <w:rFonts w:ascii="Aptos" w:hAnsi="Aptos" w:hint="default"/>
      </w:rPr>
    </w:lvl>
    <w:lvl w:ilvl="1" w:tplc="27D2ED78">
      <w:start w:val="1"/>
      <w:numFmt w:val="bullet"/>
      <w:lvlText w:val="o"/>
      <w:lvlJc w:val="left"/>
      <w:pPr>
        <w:ind w:left="1440" w:hanging="360"/>
      </w:pPr>
      <w:rPr>
        <w:rFonts w:ascii="Courier New" w:hAnsi="Courier New" w:hint="default"/>
      </w:rPr>
    </w:lvl>
    <w:lvl w:ilvl="2" w:tplc="A06CE2A2">
      <w:start w:val="1"/>
      <w:numFmt w:val="bullet"/>
      <w:lvlText w:val=""/>
      <w:lvlJc w:val="left"/>
      <w:pPr>
        <w:ind w:left="2160" w:hanging="360"/>
      </w:pPr>
      <w:rPr>
        <w:rFonts w:ascii="Wingdings" w:hAnsi="Wingdings" w:hint="default"/>
      </w:rPr>
    </w:lvl>
    <w:lvl w:ilvl="3" w:tplc="16E4A3E0">
      <w:start w:val="1"/>
      <w:numFmt w:val="bullet"/>
      <w:lvlText w:val=""/>
      <w:lvlJc w:val="left"/>
      <w:pPr>
        <w:ind w:left="2880" w:hanging="360"/>
      </w:pPr>
      <w:rPr>
        <w:rFonts w:ascii="Symbol" w:hAnsi="Symbol" w:hint="default"/>
      </w:rPr>
    </w:lvl>
    <w:lvl w:ilvl="4" w:tplc="3AF0800A">
      <w:start w:val="1"/>
      <w:numFmt w:val="bullet"/>
      <w:lvlText w:val="o"/>
      <w:lvlJc w:val="left"/>
      <w:pPr>
        <w:ind w:left="3600" w:hanging="360"/>
      </w:pPr>
      <w:rPr>
        <w:rFonts w:ascii="Courier New" w:hAnsi="Courier New" w:hint="default"/>
      </w:rPr>
    </w:lvl>
    <w:lvl w:ilvl="5" w:tplc="735E80BC">
      <w:start w:val="1"/>
      <w:numFmt w:val="bullet"/>
      <w:lvlText w:val=""/>
      <w:lvlJc w:val="left"/>
      <w:pPr>
        <w:ind w:left="4320" w:hanging="360"/>
      </w:pPr>
      <w:rPr>
        <w:rFonts w:ascii="Wingdings" w:hAnsi="Wingdings" w:hint="default"/>
      </w:rPr>
    </w:lvl>
    <w:lvl w:ilvl="6" w:tplc="141A7DF4">
      <w:start w:val="1"/>
      <w:numFmt w:val="bullet"/>
      <w:lvlText w:val=""/>
      <w:lvlJc w:val="left"/>
      <w:pPr>
        <w:ind w:left="5040" w:hanging="360"/>
      </w:pPr>
      <w:rPr>
        <w:rFonts w:ascii="Symbol" w:hAnsi="Symbol" w:hint="default"/>
      </w:rPr>
    </w:lvl>
    <w:lvl w:ilvl="7" w:tplc="6AF0D260">
      <w:start w:val="1"/>
      <w:numFmt w:val="bullet"/>
      <w:lvlText w:val="o"/>
      <w:lvlJc w:val="left"/>
      <w:pPr>
        <w:ind w:left="5760" w:hanging="360"/>
      </w:pPr>
      <w:rPr>
        <w:rFonts w:ascii="Courier New" w:hAnsi="Courier New" w:hint="default"/>
      </w:rPr>
    </w:lvl>
    <w:lvl w:ilvl="8" w:tplc="492A22AC">
      <w:start w:val="1"/>
      <w:numFmt w:val="bullet"/>
      <w:lvlText w:val=""/>
      <w:lvlJc w:val="left"/>
      <w:pPr>
        <w:ind w:left="6480" w:hanging="360"/>
      </w:pPr>
      <w:rPr>
        <w:rFonts w:ascii="Wingdings" w:hAnsi="Wingdings" w:hint="default"/>
      </w:rPr>
    </w:lvl>
  </w:abstractNum>
  <w:abstractNum w:abstractNumId="2" w15:restartNumberingAfterBreak="0">
    <w:nsid w:val="19AE6006"/>
    <w:multiLevelType w:val="hybridMultilevel"/>
    <w:tmpl w:val="FB48831C"/>
    <w:lvl w:ilvl="0" w:tplc="F49C8AC8">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91A9D10"/>
    <w:multiLevelType w:val="hybridMultilevel"/>
    <w:tmpl w:val="FFFFFFFF"/>
    <w:lvl w:ilvl="0" w:tplc="912CC93C">
      <w:start w:val="1"/>
      <w:numFmt w:val="bullet"/>
      <w:lvlText w:val="-"/>
      <w:lvlJc w:val="left"/>
      <w:pPr>
        <w:ind w:left="720" w:hanging="360"/>
      </w:pPr>
      <w:rPr>
        <w:rFonts w:ascii="&quot;Calibri Light&quot;" w:hAnsi="&quot;Calibri Light&quot;" w:hint="default"/>
      </w:rPr>
    </w:lvl>
    <w:lvl w:ilvl="1" w:tplc="84EA9CA8">
      <w:start w:val="1"/>
      <w:numFmt w:val="bullet"/>
      <w:lvlText w:val="o"/>
      <w:lvlJc w:val="left"/>
      <w:pPr>
        <w:ind w:left="1440" w:hanging="360"/>
      </w:pPr>
      <w:rPr>
        <w:rFonts w:ascii="Courier New" w:hAnsi="Courier New" w:hint="default"/>
      </w:rPr>
    </w:lvl>
    <w:lvl w:ilvl="2" w:tplc="8A9050CE">
      <w:start w:val="1"/>
      <w:numFmt w:val="bullet"/>
      <w:lvlText w:val=""/>
      <w:lvlJc w:val="left"/>
      <w:pPr>
        <w:ind w:left="2160" w:hanging="360"/>
      </w:pPr>
      <w:rPr>
        <w:rFonts w:ascii="Wingdings" w:hAnsi="Wingdings" w:hint="default"/>
      </w:rPr>
    </w:lvl>
    <w:lvl w:ilvl="3" w:tplc="8340D3B0">
      <w:start w:val="1"/>
      <w:numFmt w:val="bullet"/>
      <w:lvlText w:val=""/>
      <w:lvlJc w:val="left"/>
      <w:pPr>
        <w:ind w:left="2880" w:hanging="360"/>
      </w:pPr>
      <w:rPr>
        <w:rFonts w:ascii="Symbol" w:hAnsi="Symbol" w:hint="default"/>
      </w:rPr>
    </w:lvl>
    <w:lvl w:ilvl="4" w:tplc="B178F83C">
      <w:start w:val="1"/>
      <w:numFmt w:val="bullet"/>
      <w:lvlText w:val="o"/>
      <w:lvlJc w:val="left"/>
      <w:pPr>
        <w:ind w:left="3600" w:hanging="360"/>
      </w:pPr>
      <w:rPr>
        <w:rFonts w:ascii="Courier New" w:hAnsi="Courier New" w:hint="default"/>
      </w:rPr>
    </w:lvl>
    <w:lvl w:ilvl="5" w:tplc="D1CC3EA6">
      <w:start w:val="1"/>
      <w:numFmt w:val="bullet"/>
      <w:lvlText w:val=""/>
      <w:lvlJc w:val="left"/>
      <w:pPr>
        <w:ind w:left="4320" w:hanging="360"/>
      </w:pPr>
      <w:rPr>
        <w:rFonts w:ascii="Wingdings" w:hAnsi="Wingdings" w:hint="default"/>
      </w:rPr>
    </w:lvl>
    <w:lvl w:ilvl="6" w:tplc="DAC43A68">
      <w:start w:val="1"/>
      <w:numFmt w:val="bullet"/>
      <w:lvlText w:val=""/>
      <w:lvlJc w:val="left"/>
      <w:pPr>
        <w:ind w:left="5040" w:hanging="360"/>
      </w:pPr>
      <w:rPr>
        <w:rFonts w:ascii="Symbol" w:hAnsi="Symbol" w:hint="default"/>
      </w:rPr>
    </w:lvl>
    <w:lvl w:ilvl="7" w:tplc="17B86E98">
      <w:start w:val="1"/>
      <w:numFmt w:val="bullet"/>
      <w:lvlText w:val="o"/>
      <w:lvlJc w:val="left"/>
      <w:pPr>
        <w:ind w:left="5760" w:hanging="360"/>
      </w:pPr>
      <w:rPr>
        <w:rFonts w:ascii="Courier New" w:hAnsi="Courier New" w:hint="default"/>
      </w:rPr>
    </w:lvl>
    <w:lvl w:ilvl="8" w:tplc="247038F8">
      <w:start w:val="1"/>
      <w:numFmt w:val="bullet"/>
      <w:lvlText w:val=""/>
      <w:lvlJc w:val="left"/>
      <w:pPr>
        <w:ind w:left="6480" w:hanging="360"/>
      </w:pPr>
      <w:rPr>
        <w:rFonts w:ascii="Wingdings" w:hAnsi="Wingdings" w:hint="default"/>
      </w:rPr>
    </w:lvl>
  </w:abstractNum>
  <w:abstractNum w:abstractNumId="4" w15:restartNumberingAfterBreak="0">
    <w:nsid w:val="320CE980"/>
    <w:multiLevelType w:val="hybridMultilevel"/>
    <w:tmpl w:val="FFFFFFFF"/>
    <w:lvl w:ilvl="0" w:tplc="680E7452">
      <w:start w:val="1"/>
      <w:numFmt w:val="bullet"/>
      <w:lvlText w:val="-"/>
      <w:lvlJc w:val="left"/>
      <w:pPr>
        <w:ind w:left="720" w:hanging="360"/>
      </w:pPr>
      <w:rPr>
        <w:rFonts w:ascii="&quot;Calibri Light&quot;" w:hAnsi="&quot;Calibri Light&quot;" w:hint="default"/>
      </w:rPr>
    </w:lvl>
    <w:lvl w:ilvl="1" w:tplc="E078EAAC">
      <w:start w:val="1"/>
      <w:numFmt w:val="bullet"/>
      <w:lvlText w:val="o"/>
      <w:lvlJc w:val="left"/>
      <w:pPr>
        <w:ind w:left="1440" w:hanging="360"/>
      </w:pPr>
      <w:rPr>
        <w:rFonts w:ascii="Courier New" w:hAnsi="Courier New" w:hint="default"/>
      </w:rPr>
    </w:lvl>
    <w:lvl w:ilvl="2" w:tplc="6792D9A6">
      <w:start w:val="1"/>
      <w:numFmt w:val="bullet"/>
      <w:lvlText w:val=""/>
      <w:lvlJc w:val="left"/>
      <w:pPr>
        <w:ind w:left="2160" w:hanging="360"/>
      </w:pPr>
      <w:rPr>
        <w:rFonts w:ascii="Wingdings" w:hAnsi="Wingdings" w:hint="default"/>
      </w:rPr>
    </w:lvl>
    <w:lvl w:ilvl="3" w:tplc="5C2429F4">
      <w:start w:val="1"/>
      <w:numFmt w:val="bullet"/>
      <w:lvlText w:val=""/>
      <w:lvlJc w:val="left"/>
      <w:pPr>
        <w:ind w:left="2880" w:hanging="360"/>
      </w:pPr>
      <w:rPr>
        <w:rFonts w:ascii="Symbol" w:hAnsi="Symbol" w:hint="default"/>
      </w:rPr>
    </w:lvl>
    <w:lvl w:ilvl="4" w:tplc="D93EB076">
      <w:start w:val="1"/>
      <w:numFmt w:val="bullet"/>
      <w:lvlText w:val="o"/>
      <w:lvlJc w:val="left"/>
      <w:pPr>
        <w:ind w:left="3600" w:hanging="360"/>
      </w:pPr>
      <w:rPr>
        <w:rFonts w:ascii="Courier New" w:hAnsi="Courier New" w:hint="default"/>
      </w:rPr>
    </w:lvl>
    <w:lvl w:ilvl="5" w:tplc="2182D434">
      <w:start w:val="1"/>
      <w:numFmt w:val="bullet"/>
      <w:lvlText w:val=""/>
      <w:lvlJc w:val="left"/>
      <w:pPr>
        <w:ind w:left="4320" w:hanging="360"/>
      </w:pPr>
      <w:rPr>
        <w:rFonts w:ascii="Wingdings" w:hAnsi="Wingdings" w:hint="default"/>
      </w:rPr>
    </w:lvl>
    <w:lvl w:ilvl="6" w:tplc="730C33D8">
      <w:start w:val="1"/>
      <w:numFmt w:val="bullet"/>
      <w:lvlText w:val=""/>
      <w:lvlJc w:val="left"/>
      <w:pPr>
        <w:ind w:left="5040" w:hanging="360"/>
      </w:pPr>
      <w:rPr>
        <w:rFonts w:ascii="Symbol" w:hAnsi="Symbol" w:hint="default"/>
      </w:rPr>
    </w:lvl>
    <w:lvl w:ilvl="7" w:tplc="71C40F48">
      <w:start w:val="1"/>
      <w:numFmt w:val="bullet"/>
      <w:lvlText w:val="o"/>
      <w:lvlJc w:val="left"/>
      <w:pPr>
        <w:ind w:left="5760" w:hanging="360"/>
      </w:pPr>
      <w:rPr>
        <w:rFonts w:ascii="Courier New" w:hAnsi="Courier New" w:hint="default"/>
      </w:rPr>
    </w:lvl>
    <w:lvl w:ilvl="8" w:tplc="C05AD9F6">
      <w:start w:val="1"/>
      <w:numFmt w:val="bullet"/>
      <w:lvlText w:val=""/>
      <w:lvlJc w:val="left"/>
      <w:pPr>
        <w:ind w:left="6480" w:hanging="360"/>
      </w:pPr>
      <w:rPr>
        <w:rFonts w:ascii="Wingdings" w:hAnsi="Wingdings" w:hint="default"/>
      </w:rPr>
    </w:lvl>
  </w:abstractNum>
  <w:abstractNum w:abstractNumId="5" w15:restartNumberingAfterBreak="0">
    <w:nsid w:val="56721403"/>
    <w:multiLevelType w:val="hybridMultilevel"/>
    <w:tmpl w:val="E85CD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3D11EB5"/>
    <w:multiLevelType w:val="hybridMultilevel"/>
    <w:tmpl w:val="FFFFFFFF"/>
    <w:lvl w:ilvl="0" w:tplc="25241A0A">
      <w:start w:val="1"/>
      <w:numFmt w:val="bullet"/>
      <w:lvlText w:val="-"/>
      <w:lvlJc w:val="left"/>
      <w:pPr>
        <w:ind w:left="720" w:hanging="360"/>
      </w:pPr>
      <w:rPr>
        <w:rFonts w:ascii="&quot;Calibri Light&quot;" w:hAnsi="&quot;Calibri Light&quot;" w:hint="default"/>
      </w:rPr>
    </w:lvl>
    <w:lvl w:ilvl="1" w:tplc="70D65BC6">
      <w:start w:val="1"/>
      <w:numFmt w:val="bullet"/>
      <w:lvlText w:val="o"/>
      <w:lvlJc w:val="left"/>
      <w:pPr>
        <w:ind w:left="1440" w:hanging="360"/>
      </w:pPr>
      <w:rPr>
        <w:rFonts w:ascii="Courier New" w:hAnsi="Courier New" w:hint="default"/>
      </w:rPr>
    </w:lvl>
    <w:lvl w:ilvl="2" w:tplc="458C68BE">
      <w:start w:val="1"/>
      <w:numFmt w:val="bullet"/>
      <w:lvlText w:val=""/>
      <w:lvlJc w:val="left"/>
      <w:pPr>
        <w:ind w:left="2160" w:hanging="360"/>
      </w:pPr>
      <w:rPr>
        <w:rFonts w:ascii="Wingdings" w:hAnsi="Wingdings" w:hint="default"/>
      </w:rPr>
    </w:lvl>
    <w:lvl w:ilvl="3" w:tplc="A12A774A">
      <w:start w:val="1"/>
      <w:numFmt w:val="bullet"/>
      <w:lvlText w:val=""/>
      <w:lvlJc w:val="left"/>
      <w:pPr>
        <w:ind w:left="2880" w:hanging="360"/>
      </w:pPr>
      <w:rPr>
        <w:rFonts w:ascii="Symbol" w:hAnsi="Symbol" w:hint="default"/>
      </w:rPr>
    </w:lvl>
    <w:lvl w:ilvl="4" w:tplc="BCA80EC0">
      <w:start w:val="1"/>
      <w:numFmt w:val="bullet"/>
      <w:lvlText w:val="o"/>
      <w:lvlJc w:val="left"/>
      <w:pPr>
        <w:ind w:left="3600" w:hanging="360"/>
      </w:pPr>
      <w:rPr>
        <w:rFonts w:ascii="Courier New" w:hAnsi="Courier New" w:hint="default"/>
      </w:rPr>
    </w:lvl>
    <w:lvl w:ilvl="5" w:tplc="58ECC9C4">
      <w:start w:val="1"/>
      <w:numFmt w:val="bullet"/>
      <w:lvlText w:val=""/>
      <w:lvlJc w:val="left"/>
      <w:pPr>
        <w:ind w:left="4320" w:hanging="360"/>
      </w:pPr>
      <w:rPr>
        <w:rFonts w:ascii="Wingdings" w:hAnsi="Wingdings" w:hint="default"/>
      </w:rPr>
    </w:lvl>
    <w:lvl w:ilvl="6" w:tplc="1DE41EB2">
      <w:start w:val="1"/>
      <w:numFmt w:val="bullet"/>
      <w:lvlText w:val=""/>
      <w:lvlJc w:val="left"/>
      <w:pPr>
        <w:ind w:left="5040" w:hanging="360"/>
      </w:pPr>
      <w:rPr>
        <w:rFonts w:ascii="Symbol" w:hAnsi="Symbol" w:hint="default"/>
      </w:rPr>
    </w:lvl>
    <w:lvl w:ilvl="7" w:tplc="1E0C3AB2">
      <w:start w:val="1"/>
      <w:numFmt w:val="bullet"/>
      <w:lvlText w:val="o"/>
      <w:lvlJc w:val="left"/>
      <w:pPr>
        <w:ind w:left="5760" w:hanging="360"/>
      </w:pPr>
      <w:rPr>
        <w:rFonts w:ascii="Courier New" w:hAnsi="Courier New" w:hint="default"/>
      </w:rPr>
    </w:lvl>
    <w:lvl w:ilvl="8" w:tplc="4EC0B2A6">
      <w:start w:val="1"/>
      <w:numFmt w:val="bullet"/>
      <w:lvlText w:val=""/>
      <w:lvlJc w:val="left"/>
      <w:pPr>
        <w:ind w:left="6480" w:hanging="360"/>
      </w:pPr>
      <w:rPr>
        <w:rFonts w:ascii="Wingdings" w:hAnsi="Wingdings" w:hint="default"/>
      </w:rPr>
    </w:lvl>
  </w:abstractNum>
  <w:num w:numId="1" w16cid:durableId="570503748">
    <w:abstractNumId w:val="1"/>
  </w:num>
  <w:num w:numId="2" w16cid:durableId="1652171914">
    <w:abstractNumId w:val="4"/>
  </w:num>
  <w:num w:numId="3" w16cid:durableId="2022076614">
    <w:abstractNumId w:val="3"/>
  </w:num>
  <w:num w:numId="4" w16cid:durableId="2141223622">
    <w:abstractNumId w:val="5"/>
  </w:num>
  <w:num w:numId="5" w16cid:durableId="434054909">
    <w:abstractNumId w:val="2"/>
  </w:num>
  <w:num w:numId="6" w16cid:durableId="870456604">
    <w:abstractNumId w:val="6"/>
  </w:num>
  <w:num w:numId="7" w16cid:durableId="10361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CA5"/>
    <w:rsid w:val="00002204"/>
    <w:rsid w:val="0000568F"/>
    <w:rsid w:val="00026207"/>
    <w:rsid w:val="00044DC2"/>
    <w:rsid w:val="0004530B"/>
    <w:rsid w:val="00051596"/>
    <w:rsid w:val="00053C62"/>
    <w:rsid w:val="000629C7"/>
    <w:rsid w:val="00067961"/>
    <w:rsid w:val="00072FAA"/>
    <w:rsid w:val="00074722"/>
    <w:rsid w:val="000749B9"/>
    <w:rsid w:val="000767BA"/>
    <w:rsid w:val="000814D8"/>
    <w:rsid w:val="00083695"/>
    <w:rsid w:val="00084D0B"/>
    <w:rsid w:val="00087A88"/>
    <w:rsid w:val="000946A6"/>
    <w:rsid w:val="000A0E9B"/>
    <w:rsid w:val="000A5E23"/>
    <w:rsid w:val="000B4CB2"/>
    <w:rsid w:val="000C53DC"/>
    <w:rsid w:val="000E3DAC"/>
    <w:rsid w:val="000F02AE"/>
    <w:rsid w:val="000F3047"/>
    <w:rsid w:val="000F32BB"/>
    <w:rsid w:val="0011623D"/>
    <w:rsid w:val="00120926"/>
    <w:rsid w:val="00123C86"/>
    <w:rsid w:val="00124C8B"/>
    <w:rsid w:val="0012787B"/>
    <w:rsid w:val="0013094C"/>
    <w:rsid w:val="00146B53"/>
    <w:rsid w:val="00154BA8"/>
    <w:rsid w:val="00156CF5"/>
    <w:rsid w:val="00163CA4"/>
    <w:rsid w:val="00186D21"/>
    <w:rsid w:val="001952C7"/>
    <w:rsid w:val="0019582B"/>
    <w:rsid w:val="00196E38"/>
    <w:rsid w:val="00197092"/>
    <w:rsid w:val="001C7CDA"/>
    <w:rsid w:val="001D3A1E"/>
    <w:rsid w:val="001D40A2"/>
    <w:rsid w:val="001D7EED"/>
    <w:rsid w:val="00200CF7"/>
    <w:rsid w:val="00220209"/>
    <w:rsid w:val="002204D0"/>
    <w:rsid w:val="00223B9D"/>
    <w:rsid w:val="002263C2"/>
    <w:rsid w:val="0024147C"/>
    <w:rsid w:val="00253462"/>
    <w:rsid w:val="002605FF"/>
    <w:rsid w:val="002654F2"/>
    <w:rsid w:val="00266E2A"/>
    <w:rsid w:val="00272402"/>
    <w:rsid w:val="00280BB7"/>
    <w:rsid w:val="002838D9"/>
    <w:rsid w:val="00290EFE"/>
    <w:rsid w:val="00297320"/>
    <w:rsid w:val="002B391B"/>
    <w:rsid w:val="002C76BA"/>
    <w:rsid w:val="002C79F1"/>
    <w:rsid w:val="002C7F9C"/>
    <w:rsid w:val="002D1CBA"/>
    <w:rsid w:val="002F16C1"/>
    <w:rsid w:val="002F4790"/>
    <w:rsid w:val="002F4D9D"/>
    <w:rsid w:val="002F5219"/>
    <w:rsid w:val="002F5348"/>
    <w:rsid w:val="002F59B3"/>
    <w:rsid w:val="002F7B95"/>
    <w:rsid w:val="00320FBD"/>
    <w:rsid w:val="003211F1"/>
    <w:rsid w:val="00332AD9"/>
    <w:rsid w:val="00365E18"/>
    <w:rsid w:val="003830D6"/>
    <w:rsid w:val="00391595"/>
    <w:rsid w:val="003A1612"/>
    <w:rsid w:val="003A4447"/>
    <w:rsid w:val="003A4645"/>
    <w:rsid w:val="003B1B38"/>
    <w:rsid w:val="003D05B7"/>
    <w:rsid w:val="003D189B"/>
    <w:rsid w:val="003D57FE"/>
    <w:rsid w:val="003D6539"/>
    <w:rsid w:val="003E0B6D"/>
    <w:rsid w:val="003E274A"/>
    <w:rsid w:val="003E3018"/>
    <w:rsid w:val="003E354A"/>
    <w:rsid w:val="004031EB"/>
    <w:rsid w:val="004142C9"/>
    <w:rsid w:val="00420532"/>
    <w:rsid w:val="004207B0"/>
    <w:rsid w:val="004209DD"/>
    <w:rsid w:val="004312FE"/>
    <w:rsid w:val="00436535"/>
    <w:rsid w:val="0043673D"/>
    <w:rsid w:val="004420C8"/>
    <w:rsid w:val="00453641"/>
    <w:rsid w:val="00456EA5"/>
    <w:rsid w:val="00467689"/>
    <w:rsid w:val="00474E19"/>
    <w:rsid w:val="004A5DA0"/>
    <w:rsid w:val="004A6979"/>
    <w:rsid w:val="004C0184"/>
    <w:rsid w:val="004D2D7E"/>
    <w:rsid w:val="004D7BE6"/>
    <w:rsid w:val="004E72D3"/>
    <w:rsid w:val="004F0AF5"/>
    <w:rsid w:val="004F2C1B"/>
    <w:rsid w:val="00500AD8"/>
    <w:rsid w:val="00507178"/>
    <w:rsid w:val="0051745D"/>
    <w:rsid w:val="00520360"/>
    <w:rsid w:val="00542006"/>
    <w:rsid w:val="00543E32"/>
    <w:rsid w:val="00544D00"/>
    <w:rsid w:val="00565916"/>
    <w:rsid w:val="00572999"/>
    <w:rsid w:val="00573135"/>
    <w:rsid w:val="00576666"/>
    <w:rsid w:val="0057719F"/>
    <w:rsid w:val="005830A8"/>
    <w:rsid w:val="00587B59"/>
    <w:rsid w:val="00593BF6"/>
    <w:rsid w:val="005A13E8"/>
    <w:rsid w:val="005A1423"/>
    <w:rsid w:val="005C2F4E"/>
    <w:rsid w:val="005E572B"/>
    <w:rsid w:val="005F29C3"/>
    <w:rsid w:val="00603FA3"/>
    <w:rsid w:val="006110C3"/>
    <w:rsid w:val="00614884"/>
    <w:rsid w:val="006478FB"/>
    <w:rsid w:val="00653056"/>
    <w:rsid w:val="00661AAB"/>
    <w:rsid w:val="00661CA5"/>
    <w:rsid w:val="006654C7"/>
    <w:rsid w:val="006676F4"/>
    <w:rsid w:val="00670E66"/>
    <w:rsid w:val="006716DB"/>
    <w:rsid w:val="006A70DE"/>
    <w:rsid w:val="006B45A4"/>
    <w:rsid w:val="006B78C6"/>
    <w:rsid w:val="006E214F"/>
    <w:rsid w:val="006F0E7D"/>
    <w:rsid w:val="00700D2F"/>
    <w:rsid w:val="00711918"/>
    <w:rsid w:val="00711FA6"/>
    <w:rsid w:val="00717AE9"/>
    <w:rsid w:val="00721E28"/>
    <w:rsid w:val="00737506"/>
    <w:rsid w:val="007375BD"/>
    <w:rsid w:val="00754B81"/>
    <w:rsid w:val="00760F60"/>
    <w:rsid w:val="00772ACB"/>
    <w:rsid w:val="007805FC"/>
    <w:rsid w:val="00792867"/>
    <w:rsid w:val="007A10A1"/>
    <w:rsid w:val="007D6963"/>
    <w:rsid w:val="007E0CD4"/>
    <w:rsid w:val="007E17D2"/>
    <w:rsid w:val="007E51E5"/>
    <w:rsid w:val="007E6534"/>
    <w:rsid w:val="007E7049"/>
    <w:rsid w:val="007E78AC"/>
    <w:rsid w:val="00800654"/>
    <w:rsid w:val="00800AB9"/>
    <w:rsid w:val="00800DC2"/>
    <w:rsid w:val="00802AC5"/>
    <w:rsid w:val="00803049"/>
    <w:rsid w:val="00823F21"/>
    <w:rsid w:val="008328DA"/>
    <w:rsid w:val="00833A3A"/>
    <w:rsid w:val="0084459B"/>
    <w:rsid w:val="00847D7D"/>
    <w:rsid w:val="00860EA7"/>
    <w:rsid w:val="00863438"/>
    <w:rsid w:val="00870AA6"/>
    <w:rsid w:val="00873D9C"/>
    <w:rsid w:val="00877B77"/>
    <w:rsid w:val="00885D0F"/>
    <w:rsid w:val="00887722"/>
    <w:rsid w:val="0089651B"/>
    <w:rsid w:val="008A3B3F"/>
    <w:rsid w:val="008A618B"/>
    <w:rsid w:val="008C1938"/>
    <w:rsid w:val="008C33AB"/>
    <w:rsid w:val="008C6B82"/>
    <w:rsid w:val="008D230C"/>
    <w:rsid w:val="008D71AF"/>
    <w:rsid w:val="008E0F6F"/>
    <w:rsid w:val="008E3F50"/>
    <w:rsid w:val="008F40E0"/>
    <w:rsid w:val="008F46CA"/>
    <w:rsid w:val="008F6DF9"/>
    <w:rsid w:val="009026E0"/>
    <w:rsid w:val="00902A16"/>
    <w:rsid w:val="0090370B"/>
    <w:rsid w:val="009040ED"/>
    <w:rsid w:val="00906F4B"/>
    <w:rsid w:val="0091159E"/>
    <w:rsid w:val="0091179D"/>
    <w:rsid w:val="009129D4"/>
    <w:rsid w:val="00917643"/>
    <w:rsid w:val="009466F5"/>
    <w:rsid w:val="00947186"/>
    <w:rsid w:val="00966E06"/>
    <w:rsid w:val="0097354B"/>
    <w:rsid w:val="0097441F"/>
    <w:rsid w:val="009849B0"/>
    <w:rsid w:val="009969A5"/>
    <w:rsid w:val="009B43D1"/>
    <w:rsid w:val="009D2AF9"/>
    <w:rsid w:val="009D400E"/>
    <w:rsid w:val="009E0ADF"/>
    <w:rsid w:val="009E368F"/>
    <w:rsid w:val="009E7BA0"/>
    <w:rsid w:val="009F3435"/>
    <w:rsid w:val="009F3645"/>
    <w:rsid w:val="00A07027"/>
    <w:rsid w:val="00A37873"/>
    <w:rsid w:val="00A665D6"/>
    <w:rsid w:val="00A67E04"/>
    <w:rsid w:val="00A73445"/>
    <w:rsid w:val="00A73967"/>
    <w:rsid w:val="00A827F5"/>
    <w:rsid w:val="00A835C3"/>
    <w:rsid w:val="00A91FB6"/>
    <w:rsid w:val="00AB1139"/>
    <w:rsid w:val="00AC1D80"/>
    <w:rsid w:val="00AC3487"/>
    <w:rsid w:val="00AC771E"/>
    <w:rsid w:val="00AD65F5"/>
    <w:rsid w:val="00AE2D5A"/>
    <w:rsid w:val="00AE5F39"/>
    <w:rsid w:val="00AE78B4"/>
    <w:rsid w:val="00AF05B2"/>
    <w:rsid w:val="00AF0842"/>
    <w:rsid w:val="00B1690E"/>
    <w:rsid w:val="00B241E7"/>
    <w:rsid w:val="00B37D4B"/>
    <w:rsid w:val="00B44E63"/>
    <w:rsid w:val="00B55479"/>
    <w:rsid w:val="00B750BA"/>
    <w:rsid w:val="00B76534"/>
    <w:rsid w:val="00B8348A"/>
    <w:rsid w:val="00B84295"/>
    <w:rsid w:val="00B84768"/>
    <w:rsid w:val="00B90C3B"/>
    <w:rsid w:val="00B93FA4"/>
    <w:rsid w:val="00B94C1D"/>
    <w:rsid w:val="00B9758C"/>
    <w:rsid w:val="00BA1328"/>
    <w:rsid w:val="00BA50D4"/>
    <w:rsid w:val="00BB03DD"/>
    <w:rsid w:val="00BB6156"/>
    <w:rsid w:val="00BC0F90"/>
    <w:rsid w:val="00BC19E0"/>
    <w:rsid w:val="00BC2771"/>
    <w:rsid w:val="00BC3A72"/>
    <w:rsid w:val="00BD199A"/>
    <w:rsid w:val="00BD1ABA"/>
    <w:rsid w:val="00BE20A4"/>
    <w:rsid w:val="00BE2907"/>
    <w:rsid w:val="00BF02B5"/>
    <w:rsid w:val="00BF2022"/>
    <w:rsid w:val="00BF64C7"/>
    <w:rsid w:val="00C10AD5"/>
    <w:rsid w:val="00C1295A"/>
    <w:rsid w:val="00C150E1"/>
    <w:rsid w:val="00C1591A"/>
    <w:rsid w:val="00C17E5B"/>
    <w:rsid w:val="00C17FF7"/>
    <w:rsid w:val="00C22F6B"/>
    <w:rsid w:val="00C25531"/>
    <w:rsid w:val="00C276D2"/>
    <w:rsid w:val="00C3052A"/>
    <w:rsid w:val="00C312EE"/>
    <w:rsid w:val="00C32853"/>
    <w:rsid w:val="00C34E8A"/>
    <w:rsid w:val="00C52A98"/>
    <w:rsid w:val="00C63904"/>
    <w:rsid w:val="00C651A5"/>
    <w:rsid w:val="00C72FA6"/>
    <w:rsid w:val="00C74D22"/>
    <w:rsid w:val="00C8436C"/>
    <w:rsid w:val="00C9408E"/>
    <w:rsid w:val="00C94AE0"/>
    <w:rsid w:val="00CB1D30"/>
    <w:rsid w:val="00CB50ED"/>
    <w:rsid w:val="00CB7690"/>
    <w:rsid w:val="00CC4B02"/>
    <w:rsid w:val="00CD1A73"/>
    <w:rsid w:val="00CF0AB7"/>
    <w:rsid w:val="00CF1404"/>
    <w:rsid w:val="00D00D39"/>
    <w:rsid w:val="00D07732"/>
    <w:rsid w:val="00D1448F"/>
    <w:rsid w:val="00D14C86"/>
    <w:rsid w:val="00D20DDF"/>
    <w:rsid w:val="00D236AE"/>
    <w:rsid w:val="00D35059"/>
    <w:rsid w:val="00D41184"/>
    <w:rsid w:val="00D41637"/>
    <w:rsid w:val="00D420B3"/>
    <w:rsid w:val="00D73A07"/>
    <w:rsid w:val="00D7797F"/>
    <w:rsid w:val="00D807F9"/>
    <w:rsid w:val="00D83289"/>
    <w:rsid w:val="00D8341A"/>
    <w:rsid w:val="00D84D8C"/>
    <w:rsid w:val="00D91140"/>
    <w:rsid w:val="00D916DD"/>
    <w:rsid w:val="00D97866"/>
    <w:rsid w:val="00DB2BA1"/>
    <w:rsid w:val="00DB58A8"/>
    <w:rsid w:val="00DB79A0"/>
    <w:rsid w:val="00DC1851"/>
    <w:rsid w:val="00DC7063"/>
    <w:rsid w:val="00DD7B69"/>
    <w:rsid w:val="00DE5353"/>
    <w:rsid w:val="00DF3B80"/>
    <w:rsid w:val="00DF4490"/>
    <w:rsid w:val="00DF5551"/>
    <w:rsid w:val="00E070B1"/>
    <w:rsid w:val="00E11EFE"/>
    <w:rsid w:val="00E14439"/>
    <w:rsid w:val="00E209CA"/>
    <w:rsid w:val="00E22D40"/>
    <w:rsid w:val="00E22FB3"/>
    <w:rsid w:val="00E34991"/>
    <w:rsid w:val="00E3764B"/>
    <w:rsid w:val="00E44BB0"/>
    <w:rsid w:val="00E7191D"/>
    <w:rsid w:val="00E738DF"/>
    <w:rsid w:val="00E76883"/>
    <w:rsid w:val="00E77495"/>
    <w:rsid w:val="00E831EE"/>
    <w:rsid w:val="00E9356D"/>
    <w:rsid w:val="00EA1E23"/>
    <w:rsid w:val="00EA448B"/>
    <w:rsid w:val="00EB19F3"/>
    <w:rsid w:val="00ED2ABC"/>
    <w:rsid w:val="00ED7DCE"/>
    <w:rsid w:val="00EE15B6"/>
    <w:rsid w:val="00EF07F5"/>
    <w:rsid w:val="00EF2D4C"/>
    <w:rsid w:val="00F025E6"/>
    <w:rsid w:val="00F1272A"/>
    <w:rsid w:val="00F16583"/>
    <w:rsid w:val="00F210AB"/>
    <w:rsid w:val="00F225AC"/>
    <w:rsid w:val="00F25741"/>
    <w:rsid w:val="00F25830"/>
    <w:rsid w:val="00F2635D"/>
    <w:rsid w:val="00F31111"/>
    <w:rsid w:val="00F340BA"/>
    <w:rsid w:val="00F3644D"/>
    <w:rsid w:val="00F56EB0"/>
    <w:rsid w:val="00F659B1"/>
    <w:rsid w:val="00F67C22"/>
    <w:rsid w:val="00F831FB"/>
    <w:rsid w:val="00FB1F2A"/>
    <w:rsid w:val="00FC0515"/>
    <w:rsid w:val="00FC130B"/>
    <w:rsid w:val="00FC24AA"/>
    <w:rsid w:val="00FC53F5"/>
    <w:rsid w:val="00FE26CF"/>
    <w:rsid w:val="00FE6B8F"/>
    <w:rsid w:val="013E1C0A"/>
    <w:rsid w:val="01AAAE90"/>
    <w:rsid w:val="01B94C58"/>
    <w:rsid w:val="01C304AE"/>
    <w:rsid w:val="020A9091"/>
    <w:rsid w:val="03077D4F"/>
    <w:rsid w:val="035C4633"/>
    <w:rsid w:val="039122F8"/>
    <w:rsid w:val="054F34F5"/>
    <w:rsid w:val="058AD82E"/>
    <w:rsid w:val="05D01EB9"/>
    <w:rsid w:val="06EBC865"/>
    <w:rsid w:val="07837EC5"/>
    <w:rsid w:val="0799BCA5"/>
    <w:rsid w:val="07C70FFD"/>
    <w:rsid w:val="08414F61"/>
    <w:rsid w:val="094D4162"/>
    <w:rsid w:val="094E5440"/>
    <w:rsid w:val="096EC2CF"/>
    <w:rsid w:val="097CB625"/>
    <w:rsid w:val="0A774085"/>
    <w:rsid w:val="0B2B02A9"/>
    <w:rsid w:val="0B87E085"/>
    <w:rsid w:val="0B8B8689"/>
    <w:rsid w:val="0BA1E354"/>
    <w:rsid w:val="0CE042CA"/>
    <w:rsid w:val="0D96DB77"/>
    <w:rsid w:val="0DCB6142"/>
    <w:rsid w:val="0EA688E3"/>
    <w:rsid w:val="0F39FA1E"/>
    <w:rsid w:val="0F5EF5B3"/>
    <w:rsid w:val="100F6391"/>
    <w:rsid w:val="10AAEA7D"/>
    <w:rsid w:val="10E64526"/>
    <w:rsid w:val="11425752"/>
    <w:rsid w:val="118C6230"/>
    <w:rsid w:val="1296D0B2"/>
    <w:rsid w:val="135A87B2"/>
    <w:rsid w:val="14BA1833"/>
    <w:rsid w:val="167F8720"/>
    <w:rsid w:val="169547FC"/>
    <w:rsid w:val="16B7830F"/>
    <w:rsid w:val="16E05C23"/>
    <w:rsid w:val="17802934"/>
    <w:rsid w:val="1959D04C"/>
    <w:rsid w:val="1A5EB2D6"/>
    <w:rsid w:val="1AA50108"/>
    <w:rsid w:val="1C139BB8"/>
    <w:rsid w:val="1C20A7A6"/>
    <w:rsid w:val="1CABD898"/>
    <w:rsid w:val="1CFEAB9E"/>
    <w:rsid w:val="1D2B51CD"/>
    <w:rsid w:val="1D7DBA33"/>
    <w:rsid w:val="1D948409"/>
    <w:rsid w:val="1DA14DF4"/>
    <w:rsid w:val="1E54B5B2"/>
    <w:rsid w:val="1E813DAB"/>
    <w:rsid w:val="1EF640A6"/>
    <w:rsid w:val="1EFEA72E"/>
    <w:rsid w:val="1F07DA35"/>
    <w:rsid w:val="1FA350E7"/>
    <w:rsid w:val="20A502A9"/>
    <w:rsid w:val="21096BFE"/>
    <w:rsid w:val="21CA71AE"/>
    <w:rsid w:val="2217CD36"/>
    <w:rsid w:val="2257413A"/>
    <w:rsid w:val="23B001C2"/>
    <w:rsid w:val="245EDD75"/>
    <w:rsid w:val="2466E3C1"/>
    <w:rsid w:val="24AD9577"/>
    <w:rsid w:val="24CE9716"/>
    <w:rsid w:val="256C743C"/>
    <w:rsid w:val="256FE0DA"/>
    <w:rsid w:val="25ED926B"/>
    <w:rsid w:val="268D02C6"/>
    <w:rsid w:val="26CCFA92"/>
    <w:rsid w:val="27A1E40F"/>
    <w:rsid w:val="283F15C8"/>
    <w:rsid w:val="2A68E2EC"/>
    <w:rsid w:val="2AA094CB"/>
    <w:rsid w:val="2B3E6770"/>
    <w:rsid w:val="2CC70807"/>
    <w:rsid w:val="2D65A286"/>
    <w:rsid w:val="2D75DC4E"/>
    <w:rsid w:val="2D8710BB"/>
    <w:rsid w:val="2DBBE906"/>
    <w:rsid w:val="2E365D4B"/>
    <w:rsid w:val="2F72B5E7"/>
    <w:rsid w:val="2F9F4770"/>
    <w:rsid w:val="30F7E699"/>
    <w:rsid w:val="315788A5"/>
    <w:rsid w:val="319168FF"/>
    <w:rsid w:val="31E55F9B"/>
    <w:rsid w:val="32328B30"/>
    <w:rsid w:val="323BF984"/>
    <w:rsid w:val="32B81D72"/>
    <w:rsid w:val="3373E7D6"/>
    <w:rsid w:val="33B13385"/>
    <w:rsid w:val="341BAF61"/>
    <w:rsid w:val="3535B6D4"/>
    <w:rsid w:val="35E52E99"/>
    <w:rsid w:val="35F5CBD3"/>
    <w:rsid w:val="360156C1"/>
    <w:rsid w:val="37008CEB"/>
    <w:rsid w:val="38915952"/>
    <w:rsid w:val="38EAB343"/>
    <w:rsid w:val="396ACF58"/>
    <w:rsid w:val="39FF4BEF"/>
    <w:rsid w:val="3A90929A"/>
    <w:rsid w:val="3AA1AA61"/>
    <w:rsid w:val="3ADE127A"/>
    <w:rsid w:val="3BDFA852"/>
    <w:rsid w:val="3C2F5138"/>
    <w:rsid w:val="3D53F7F1"/>
    <w:rsid w:val="3DA27FD6"/>
    <w:rsid w:val="3DE955F3"/>
    <w:rsid w:val="3EA2D47E"/>
    <w:rsid w:val="408E6B5E"/>
    <w:rsid w:val="412632B3"/>
    <w:rsid w:val="41AA3D2E"/>
    <w:rsid w:val="41C2023C"/>
    <w:rsid w:val="4299C817"/>
    <w:rsid w:val="44F7D719"/>
    <w:rsid w:val="45DAA876"/>
    <w:rsid w:val="45EF4D73"/>
    <w:rsid w:val="466C456A"/>
    <w:rsid w:val="46725690"/>
    <w:rsid w:val="47287CDD"/>
    <w:rsid w:val="47C72414"/>
    <w:rsid w:val="47FCE904"/>
    <w:rsid w:val="48034416"/>
    <w:rsid w:val="483215FC"/>
    <w:rsid w:val="48BCC221"/>
    <w:rsid w:val="4AD4F368"/>
    <w:rsid w:val="4B3A7AB2"/>
    <w:rsid w:val="4B528D7C"/>
    <w:rsid w:val="4B7FED9A"/>
    <w:rsid w:val="4BCCCD15"/>
    <w:rsid w:val="4E098785"/>
    <w:rsid w:val="4E204C56"/>
    <w:rsid w:val="4E4E47A5"/>
    <w:rsid w:val="4F46DFF9"/>
    <w:rsid w:val="4FCE5A74"/>
    <w:rsid w:val="51A73C01"/>
    <w:rsid w:val="5225F97F"/>
    <w:rsid w:val="54602FAC"/>
    <w:rsid w:val="54784B7F"/>
    <w:rsid w:val="54D12DF9"/>
    <w:rsid w:val="54ED01F2"/>
    <w:rsid w:val="577EDD12"/>
    <w:rsid w:val="5847C8DD"/>
    <w:rsid w:val="58DBD22B"/>
    <w:rsid w:val="58E286CA"/>
    <w:rsid w:val="58F81932"/>
    <w:rsid w:val="5B6E3A01"/>
    <w:rsid w:val="5BBD4798"/>
    <w:rsid w:val="5BC9D59D"/>
    <w:rsid w:val="5C04F8BB"/>
    <w:rsid w:val="5C0CEF04"/>
    <w:rsid w:val="5C11FB5B"/>
    <w:rsid w:val="5CA22E5D"/>
    <w:rsid w:val="5CB61A96"/>
    <w:rsid w:val="5CED81C6"/>
    <w:rsid w:val="5E092B86"/>
    <w:rsid w:val="5E44B5F5"/>
    <w:rsid w:val="5F21D57D"/>
    <w:rsid w:val="609413E7"/>
    <w:rsid w:val="60FB9262"/>
    <w:rsid w:val="6102DC35"/>
    <w:rsid w:val="623D404C"/>
    <w:rsid w:val="625B3F10"/>
    <w:rsid w:val="62B198EF"/>
    <w:rsid w:val="632115B3"/>
    <w:rsid w:val="638207A8"/>
    <w:rsid w:val="638EC67C"/>
    <w:rsid w:val="64C51B48"/>
    <w:rsid w:val="64CBDD9B"/>
    <w:rsid w:val="653A41AD"/>
    <w:rsid w:val="66201A38"/>
    <w:rsid w:val="672CE149"/>
    <w:rsid w:val="67681762"/>
    <w:rsid w:val="69A4FFF1"/>
    <w:rsid w:val="69EF92DE"/>
    <w:rsid w:val="6A544F23"/>
    <w:rsid w:val="6A7473A1"/>
    <w:rsid w:val="6B0CF349"/>
    <w:rsid w:val="6B720D5E"/>
    <w:rsid w:val="6C4EF49A"/>
    <w:rsid w:val="6C5527F5"/>
    <w:rsid w:val="6D2EECE4"/>
    <w:rsid w:val="6E5DF312"/>
    <w:rsid w:val="6EB0135B"/>
    <w:rsid w:val="6F3BB145"/>
    <w:rsid w:val="6F5DB763"/>
    <w:rsid w:val="6F61354D"/>
    <w:rsid w:val="6F796933"/>
    <w:rsid w:val="6FA50FE3"/>
    <w:rsid w:val="6FC9E177"/>
    <w:rsid w:val="70B2DDCB"/>
    <w:rsid w:val="7134102D"/>
    <w:rsid w:val="7145E378"/>
    <w:rsid w:val="720C147F"/>
    <w:rsid w:val="7220E27F"/>
    <w:rsid w:val="73E12412"/>
    <w:rsid w:val="750D174F"/>
    <w:rsid w:val="75DB1E34"/>
    <w:rsid w:val="762C0242"/>
    <w:rsid w:val="766637CD"/>
    <w:rsid w:val="7814638D"/>
    <w:rsid w:val="7847A17A"/>
    <w:rsid w:val="7A40F101"/>
    <w:rsid w:val="7AE98B6A"/>
    <w:rsid w:val="7B0A46EF"/>
    <w:rsid w:val="7B533D22"/>
    <w:rsid w:val="7B5EBEBC"/>
    <w:rsid w:val="7B69B578"/>
    <w:rsid w:val="7BC219FD"/>
    <w:rsid w:val="7C1AE08B"/>
    <w:rsid w:val="7C8448C5"/>
    <w:rsid w:val="7D232443"/>
    <w:rsid w:val="7D2E2A1B"/>
    <w:rsid w:val="7E2641CA"/>
    <w:rsid w:val="7E514041"/>
    <w:rsid w:val="7EE7D69B"/>
    <w:rsid w:val="7F8575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09964"/>
  <w15:chartTrackingRefBased/>
  <w15:docId w15:val="{2C9E8420-7534-4CAC-B817-7F492FC29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6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6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61CA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61CA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61CA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61CA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61CA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61CA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61CA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61CA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61CA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61CA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61CA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61CA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61CA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61CA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61CA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61CA5"/>
    <w:rPr>
      <w:rFonts w:eastAsiaTheme="majorEastAsia" w:cstheme="majorBidi"/>
      <w:color w:val="272727" w:themeColor="text1" w:themeTint="D8"/>
    </w:rPr>
  </w:style>
  <w:style w:type="paragraph" w:styleId="Titre">
    <w:name w:val="Title"/>
    <w:basedOn w:val="Normal"/>
    <w:next w:val="Normal"/>
    <w:link w:val="TitreCar"/>
    <w:uiPriority w:val="10"/>
    <w:qFormat/>
    <w:rsid w:val="0066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1CA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61CA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61CA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61CA5"/>
    <w:pPr>
      <w:spacing w:before="160"/>
      <w:jc w:val="center"/>
    </w:pPr>
    <w:rPr>
      <w:i/>
      <w:iCs/>
      <w:color w:val="404040" w:themeColor="text1" w:themeTint="BF"/>
    </w:rPr>
  </w:style>
  <w:style w:type="character" w:customStyle="1" w:styleId="CitationCar">
    <w:name w:val="Citation Car"/>
    <w:basedOn w:val="Policepardfaut"/>
    <w:link w:val="Citation"/>
    <w:uiPriority w:val="29"/>
    <w:rsid w:val="00661CA5"/>
    <w:rPr>
      <w:i/>
      <w:iCs/>
      <w:color w:val="404040" w:themeColor="text1" w:themeTint="BF"/>
    </w:rPr>
  </w:style>
  <w:style w:type="paragraph" w:styleId="Paragraphedeliste">
    <w:name w:val="List Paragraph"/>
    <w:basedOn w:val="Normal"/>
    <w:uiPriority w:val="34"/>
    <w:qFormat/>
    <w:rsid w:val="00661CA5"/>
    <w:pPr>
      <w:ind w:left="720"/>
      <w:contextualSpacing/>
    </w:pPr>
  </w:style>
  <w:style w:type="character" w:styleId="Accentuationintense">
    <w:name w:val="Intense Emphasis"/>
    <w:basedOn w:val="Policepardfaut"/>
    <w:uiPriority w:val="21"/>
    <w:qFormat/>
    <w:rsid w:val="00661CA5"/>
    <w:rPr>
      <w:i/>
      <w:iCs/>
      <w:color w:val="0F4761" w:themeColor="accent1" w:themeShade="BF"/>
    </w:rPr>
  </w:style>
  <w:style w:type="paragraph" w:styleId="Citationintense">
    <w:name w:val="Intense Quote"/>
    <w:basedOn w:val="Normal"/>
    <w:next w:val="Normal"/>
    <w:link w:val="CitationintenseCar"/>
    <w:uiPriority w:val="30"/>
    <w:qFormat/>
    <w:rsid w:val="0066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61CA5"/>
    <w:rPr>
      <w:i/>
      <w:iCs/>
      <w:color w:val="0F4761" w:themeColor="accent1" w:themeShade="BF"/>
    </w:rPr>
  </w:style>
  <w:style w:type="character" w:styleId="Rfrenceintense">
    <w:name w:val="Intense Reference"/>
    <w:basedOn w:val="Policepardfaut"/>
    <w:uiPriority w:val="32"/>
    <w:qFormat/>
    <w:rsid w:val="00661CA5"/>
    <w:rPr>
      <w:b/>
      <w:bCs/>
      <w:smallCaps/>
      <w:color w:val="0F4761" w:themeColor="accent1" w:themeShade="BF"/>
      <w:spacing w:val="5"/>
    </w:rPr>
  </w:style>
  <w:style w:type="paragraph" w:customStyle="1" w:styleId="Default">
    <w:name w:val="Default"/>
    <w:rsid w:val="00661CA5"/>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C22F6B"/>
    <w:pPr>
      <w:spacing w:after="0" w:line="240" w:lineRule="auto"/>
    </w:pPr>
  </w:style>
  <w:style w:type="character" w:styleId="Marquedecommentaire">
    <w:name w:val="annotation reference"/>
    <w:basedOn w:val="Policepardfaut"/>
    <w:uiPriority w:val="99"/>
    <w:semiHidden/>
    <w:unhideWhenUsed/>
    <w:rsid w:val="005F29C3"/>
    <w:rPr>
      <w:sz w:val="16"/>
      <w:szCs w:val="16"/>
    </w:rPr>
  </w:style>
  <w:style w:type="paragraph" w:styleId="Commentaire">
    <w:name w:val="annotation text"/>
    <w:basedOn w:val="Normal"/>
    <w:link w:val="CommentaireCar"/>
    <w:uiPriority w:val="99"/>
    <w:unhideWhenUsed/>
    <w:rsid w:val="005F29C3"/>
    <w:pPr>
      <w:spacing w:line="240" w:lineRule="auto"/>
    </w:pPr>
    <w:rPr>
      <w:sz w:val="20"/>
      <w:szCs w:val="20"/>
    </w:rPr>
  </w:style>
  <w:style w:type="character" w:customStyle="1" w:styleId="CommentaireCar">
    <w:name w:val="Commentaire Car"/>
    <w:basedOn w:val="Policepardfaut"/>
    <w:link w:val="Commentaire"/>
    <w:uiPriority w:val="99"/>
    <w:rsid w:val="005F29C3"/>
    <w:rPr>
      <w:sz w:val="20"/>
      <w:szCs w:val="20"/>
    </w:rPr>
  </w:style>
  <w:style w:type="paragraph" w:styleId="Objetducommentaire">
    <w:name w:val="annotation subject"/>
    <w:basedOn w:val="Commentaire"/>
    <w:next w:val="Commentaire"/>
    <w:link w:val="ObjetducommentaireCar"/>
    <w:uiPriority w:val="99"/>
    <w:semiHidden/>
    <w:unhideWhenUsed/>
    <w:rsid w:val="005F29C3"/>
    <w:rPr>
      <w:b/>
      <w:bCs/>
    </w:rPr>
  </w:style>
  <w:style w:type="character" w:customStyle="1" w:styleId="ObjetducommentaireCar">
    <w:name w:val="Objet du commentaire Car"/>
    <w:basedOn w:val="CommentaireCar"/>
    <w:link w:val="Objetducommentaire"/>
    <w:uiPriority w:val="99"/>
    <w:semiHidden/>
    <w:rsid w:val="005F29C3"/>
    <w:rPr>
      <w:b/>
      <w:bCs/>
      <w:sz w:val="20"/>
      <w:szCs w:val="20"/>
    </w:rPr>
  </w:style>
  <w:style w:type="character" w:styleId="Mention">
    <w:name w:val="Mention"/>
    <w:basedOn w:val="Policepardfaut"/>
    <w:uiPriority w:val="99"/>
    <w:unhideWhenUsed/>
    <w:rsid w:val="00700D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45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1B38EA5B8BE46AB4D003002AD3CFD" ma:contentTypeVersion="14" ma:contentTypeDescription="Crée un document." ma:contentTypeScope="" ma:versionID="1108fe847d35d43a9ca08f5558323417">
  <xsd:schema xmlns:xsd="http://www.w3.org/2001/XMLSchema" xmlns:xs="http://www.w3.org/2001/XMLSchema" xmlns:p="http://schemas.microsoft.com/office/2006/metadata/properties" xmlns:ns2="87037488-ec5d-4aba-84c2-9b1d22638e8e" xmlns:ns3="37aee6d5-c95d-4103-8abb-38107e6f86e9" xmlns:ns4="982a28fe-fe5b-4fe9-83a4-eeb04a422cb4" targetNamespace="http://schemas.microsoft.com/office/2006/metadata/properties" ma:root="true" ma:fieldsID="7abf02adc4f7a0c9c8a761ddb799b732" ns2:_="" ns3:_="" ns4:_="">
    <xsd:import namespace="87037488-ec5d-4aba-84c2-9b1d22638e8e"/>
    <xsd:import namespace="37aee6d5-c95d-4103-8abb-38107e6f86e9"/>
    <xsd:import namespace="982a28fe-fe5b-4fe9-83a4-eeb04a422cb4"/>
    <xsd:element name="properties">
      <xsd:complexType>
        <xsd:sequence>
          <xsd:element name="documentManagement">
            <xsd:complexType>
              <xsd:all>
                <xsd:element ref="ns2:b1b820adfd3e4a078472514c1a5cb5ff" minOccurs="0"/>
                <xsd:element ref="ns2:TaxCatchAll" minOccurs="0"/>
                <xsd:element ref="ns2:TaxCatchAllLabel"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566025d-969e-4917-aae2-16f97858e947}" ma:internalName="TaxCatchAll" ma:showField="CatchAllData" ma:web="37aee6d5-c95d-4103-8abb-38107e6f8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566025d-969e-4917-aae2-16f97858e947}" ma:internalName="TaxCatchAllLabel" ma:readOnly="true" ma:showField="CatchAllDataLabel" ma:web="37aee6d5-c95d-4103-8abb-38107e6f86e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7aee6d5-c95d-4103-8abb-38107e6f86e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2a28fe-fe5b-4fe9-83a4-eeb04a422cb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3bf472f7-a010-4b5a-bb99-a26ed4c99680"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bf472f7-a010-4b5a-bb99-a26ed4c99680"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xsi:nil="true"/>
    <lcf76f155ced4ddcb4097134ff3c332f xmlns="982a28fe-fe5b-4fe9-83a4-eeb04a422cb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48E10F-A696-409A-8BA3-48CD35047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37aee6d5-c95d-4103-8abb-38107e6f86e9"/>
    <ds:schemaRef ds:uri="982a28fe-fe5b-4fe9-83a4-eeb04a422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93B69-1A16-4691-93E5-B0FC17B166A9}">
  <ds:schemaRefs>
    <ds:schemaRef ds:uri="Microsoft.SharePoint.Taxonomy.ContentTypeSync"/>
  </ds:schemaRefs>
</ds:datastoreItem>
</file>

<file path=customXml/itemProps3.xml><?xml version="1.0" encoding="utf-8"?>
<ds:datastoreItem xmlns:ds="http://schemas.openxmlformats.org/officeDocument/2006/customXml" ds:itemID="{51D2A3B9-4FB0-4436-BDD2-93FE90CE1845}">
  <ds:schemaRefs>
    <ds:schemaRef ds:uri="http://schemas.microsoft.com/office/2006/metadata/properties"/>
    <ds:schemaRef ds:uri="http://schemas.microsoft.com/office/infopath/2007/PartnerControls"/>
    <ds:schemaRef ds:uri="87037488-ec5d-4aba-84c2-9b1d22638e8e"/>
    <ds:schemaRef ds:uri="982a28fe-fe5b-4fe9-83a4-eeb04a422cb4"/>
  </ds:schemaRefs>
</ds:datastoreItem>
</file>

<file path=customXml/itemProps4.xml><?xml version="1.0" encoding="utf-8"?>
<ds:datastoreItem xmlns:ds="http://schemas.openxmlformats.org/officeDocument/2006/customXml" ds:itemID="{48B46DAE-4895-4B8F-B082-181ED2FA0A49}">
  <ds:schemaRefs>
    <ds:schemaRef ds:uri="http://schemas.microsoft.com/sharepoint/v3/contenttype/forms"/>
  </ds:schemaRefs>
</ds:datastoreItem>
</file>

<file path=docMetadata/LabelInfo.xml><?xml version="1.0" encoding="utf-8"?>
<clbl:labelList xmlns:clbl="http://schemas.microsoft.com/office/2020/mipLabelMetadata">
  <clbl:label id="{c135c4ba-2280-41f8-be7d-6f21d368baa3}" enabled="1" method="Standard" siteId="{24139d14-c62c-4c47-8bdd-ce71ea1d50cf}"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6013</Characters>
  <Application>Microsoft Office Word</Application>
  <DocSecurity>0</DocSecurity>
  <Lines>50</Lines>
  <Paragraphs>14</Paragraphs>
  <ScaleCrop>false</ScaleCrop>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BERTHELOT Corinne (ENGIE SA)</dc:creator>
  <cp:keywords/>
  <dc:description/>
  <cp:lastModifiedBy>BERTHELOT Corinne (ENGIE SA)</cp:lastModifiedBy>
  <cp:revision>115</cp:revision>
  <dcterms:created xsi:type="dcterms:W3CDTF">2024-09-15T19:04:00Z</dcterms:created>
  <dcterms:modified xsi:type="dcterms:W3CDTF">2024-09-16T16:41:00Z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0x01010018A1B38EA5B8BE46AB4D003002AD3CFD</vt:lpwstr>
  </property>
  <property fmtid="{D5CDD505-2E9C-101B-9397-08002B2CF9AE}" pid="4" name="Security Classification">
    <vt:lpwstr/>
  </property>
</Properties>
</file>